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808F8" w14:textId="2E3CD309" w:rsidR="0012388D" w:rsidRDefault="00772BDC" w:rsidP="00CA5734">
      <w:pPr>
        <w:rPr>
          <w:rFonts w:cs="Arial"/>
        </w:rPr>
      </w:pPr>
      <w:bookmarkStart w:id="0" w:name="_GoBack"/>
      <w:bookmarkEnd w:id="0"/>
      <w:r>
        <w:rPr>
          <w:rFonts w:cs="Arial"/>
          <w:noProof/>
          <w:lang w:eastAsia="en-GB" w:bidi="ar-SA"/>
        </w:rPr>
        <w:drawing>
          <wp:inline distT="0" distB="0" distL="0" distR="0" wp14:anchorId="39B34F47" wp14:editId="6E78C2F4">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5"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8ACD408" w14:textId="77777777" w:rsidR="00A671E6" w:rsidRPr="00A671E6" w:rsidRDefault="00A671E6" w:rsidP="00A671E6">
      <w:pPr>
        <w:rPr>
          <w:color w:val="FF0000"/>
        </w:rPr>
      </w:pPr>
    </w:p>
    <w:p w14:paraId="294F0AC1" w14:textId="7D99326A" w:rsidR="00A671E6" w:rsidRPr="00871FA4" w:rsidRDefault="005D1856" w:rsidP="00A671E6">
      <w:pPr>
        <w:rPr>
          <w:b/>
          <w:sz w:val="28"/>
          <w:szCs w:val="28"/>
        </w:rPr>
      </w:pPr>
      <w:r w:rsidRPr="00871FA4">
        <w:rPr>
          <w:b/>
          <w:sz w:val="28"/>
          <w:szCs w:val="28"/>
        </w:rPr>
        <w:t xml:space="preserve">22 </w:t>
      </w:r>
      <w:r w:rsidR="007455B0" w:rsidRPr="00871FA4">
        <w:rPr>
          <w:b/>
          <w:sz w:val="28"/>
          <w:szCs w:val="28"/>
        </w:rPr>
        <w:t>June 2022</w:t>
      </w:r>
    </w:p>
    <w:p w14:paraId="585C4B67" w14:textId="72915BE1" w:rsidR="00A671E6" w:rsidRPr="005D1856" w:rsidRDefault="005D1856" w:rsidP="00A671E6">
      <w:pPr>
        <w:rPr>
          <w:b/>
          <w:sz w:val="28"/>
          <w:szCs w:val="28"/>
        </w:rPr>
      </w:pPr>
      <w:r w:rsidRPr="00871FA4">
        <w:rPr>
          <w:b/>
          <w:sz w:val="28"/>
          <w:szCs w:val="28"/>
        </w:rPr>
        <w:t>20</w:t>
      </w:r>
      <w:r w:rsidR="00871FA4">
        <w:rPr>
          <w:b/>
          <w:sz w:val="28"/>
          <w:szCs w:val="28"/>
        </w:rPr>
        <w:t>6</w:t>
      </w:r>
      <w:r w:rsidRPr="00871FA4">
        <w:rPr>
          <w:b/>
          <w:sz w:val="28"/>
          <w:szCs w:val="28"/>
        </w:rPr>
        <w:t xml:space="preserve"> </w:t>
      </w:r>
      <w:r w:rsidRPr="005D1856">
        <w:rPr>
          <w:b/>
          <w:sz w:val="28"/>
          <w:szCs w:val="28"/>
        </w:rPr>
        <w:t>-22</w:t>
      </w:r>
    </w:p>
    <w:p w14:paraId="67C59E95" w14:textId="77777777" w:rsidR="00A671E6" w:rsidRPr="00A671E6" w:rsidRDefault="00A671E6" w:rsidP="00A671E6"/>
    <w:p w14:paraId="2361B71D" w14:textId="4BF9FEB2" w:rsidR="0012388D" w:rsidRPr="00242992" w:rsidRDefault="00B425AA" w:rsidP="00B425AA">
      <w:pPr>
        <w:pStyle w:val="FSTitle"/>
      </w:pPr>
      <w:r w:rsidRPr="00CA5734">
        <w:t>A</w:t>
      </w:r>
      <w:r w:rsidR="00DD265C">
        <w:t>pproval</w:t>
      </w:r>
      <w:r w:rsidRPr="00CA5734">
        <w:t xml:space="preserve"> </w:t>
      </w:r>
      <w:r w:rsidR="00140640">
        <w:t>R</w:t>
      </w:r>
      <w:r w:rsidR="00DD265C" w:rsidRPr="00CA5734">
        <w:t>eport</w:t>
      </w:r>
      <w:r w:rsidRPr="000B427A">
        <w:t xml:space="preserve"> –</w:t>
      </w:r>
      <w:r w:rsidR="00242992">
        <w:rPr>
          <w:color w:val="FF0000"/>
        </w:rPr>
        <w:t xml:space="preserve"> </w:t>
      </w:r>
      <w:r w:rsidR="00CA5734" w:rsidRPr="00242992">
        <w:t>P</w:t>
      </w:r>
      <w:r w:rsidR="00DD265C" w:rsidRPr="00242992">
        <w:t>roposal</w:t>
      </w:r>
      <w:r w:rsidR="00CA5734" w:rsidRPr="00242992">
        <w:t xml:space="preserve"> P</w:t>
      </w:r>
      <w:r w:rsidR="00242992" w:rsidRPr="00242992">
        <w:t>1030</w:t>
      </w:r>
    </w:p>
    <w:p w14:paraId="76BA861C" w14:textId="77777777" w:rsidR="003A7B84" w:rsidRPr="00242992" w:rsidRDefault="003A7B84" w:rsidP="00A671E6"/>
    <w:p w14:paraId="6CB7D150" w14:textId="0E124D8B" w:rsidR="0012388D" w:rsidRPr="00242992" w:rsidRDefault="00242992" w:rsidP="00B425AA">
      <w:pPr>
        <w:pStyle w:val="FSTitle"/>
      </w:pPr>
      <w:r w:rsidRPr="00242992">
        <w:t>Composition and Labelling of Electrolyte Drinks</w:t>
      </w:r>
    </w:p>
    <w:p w14:paraId="62E5CEB0" w14:textId="77777777" w:rsidR="003A7B84" w:rsidRPr="00E327A6" w:rsidRDefault="003A7B84" w:rsidP="00871116">
      <w:pPr>
        <w:pBdr>
          <w:bottom w:val="single" w:sz="12" w:space="1" w:color="auto"/>
        </w:pBdr>
        <w:tabs>
          <w:tab w:val="left" w:pos="1140"/>
        </w:tabs>
        <w:rPr>
          <w:rFonts w:cs="Arial"/>
          <w:bCs/>
        </w:rPr>
      </w:pPr>
    </w:p>
    <w:p w14:paraId="2537340B" w14:textId="77777777" w:rsidR="003A7B84" w:rsidRPr="00E327A6" w:rsidRDefault="003A7B84" w:rsidP="003A7B84"/>
    <w:p w14:paraId="51D4585F" w14:textId="0E812058" w:rsidR="00EB6590" w:rsidRDefault="000F3CFE" w:rsidP="00CA5734">
      <w:r w:rsidRPr="002C4FB9">
        <w:t>Food Standards Australia New Zealand (FSANZ) has</w:t>
      </w:r>
      <w:r w:rsidR="00081B0A" w:rsidRPr="002C4FB9">
        <w:t xml:space="preserve"> </w:t>
      </w:r>
      <w:r w:rsidR="005F1D32">
        <w:t xml:space="preserve">assessed </w:t>
      </w:r>
      <w:r w:rsidR="00A674CD">
        <w:t xml:space="preserve">a </w:t>
      </w:r>
      <w:r w:rsidR="006158E4">
        <w:t>Proposal</w:t>
      </w:r>
      <w:r w:rsidR="003A7B84" w:rsidRPr="002C4FB9">
        <w:t xml:space="preserve"> </w:t>
      </w:r>
      <w:r w:rsidR="00CA5734" w:rsidRPr="002C4FB9">
        <w:t>to</w:t>
      </w:r>
      <w:r w:rsidR="00242992" w:rsidRPr="002C4FB9">
        <w:t xml:space="preserve"> review </w:t>
      </w:r>
      <w:r w:rsidR="00242992">
        <w:t xml:space="preserve">the regulation of electrolyte drinks in the </w:t>
      </w:r>
      <w:r w:rsidR="00242992" w:rsidRPr="006810D8">
        <w:rPr>
          <w:i/>
        </w:rPr>
        <w:t>Australia New Zealand Food Standards Code</w:t>
      </w:r>
      <w:r w:rsidR="00242992" w:rsidRPr="006810D8">
        <w:t>.</w:t>
      </w:r>
    </w:p>
    <w:p w14:paraId="5A4F0E33" w14:textId="77777777" w:rsidR="00CA5734" w:rsidRDefault="00CA5734" w:rsidP="00CA5734"/>
    <w:p w14:paraId="25E0A4A1" w14:textId="7981AD3F" w:rsidR="00081B0A" w:rsidRDefault="00110ABF" w:rsidP="00CA5734">
      <w:r>
        <w:t>O</w:t>
      </w:r>
      <w:r w:rsidR="000F6229">
        <w:t xml:space="preserve">n </w:t>
      </w:r>
      <w:r>
        <w:t xml:space="preserve">18 August </w:t>
      </w:r>
      <w:r w:rsidR="00F2082C">
        <w:t>2014</w:t>
      </w:r>
      <w:r w:rsidR="00403F62">
        <w:t xml:space="preserve">, FSANZ sought submissions on a draft variation and published an associated report. </w:t>
      </w:r>
      <w:r w:rsidR="00403F62" w:rsidRPr="007455B0">
        <w:t xml:space="preserve">FSANZ received </w:t>
      </w:r>
      <w:r w:rsidR="000F6229" w:rsidRPr="007455B0">
        <w:t>39 submissions</w:t>
      </w:r>
      <w:r>
        <w:t>.</w:t>
      </w:r>
      <w:r w:rsidR="00403F62">
        <w:t xml:space="preserve"> </w:t>
      </w:r>
      <w:r w:rsidR="00242992">
        <w:t>On 28 May 2021,</w:t>
      </w:r>
      <w:r w:rsidR="00242992" w:rsidRPr="00CA5734">
        <w:rPr>
          <w:color w:val="FF0000"/>
        </w:rPr>
        <w:t xml:space="preserve"> </w:t>
      </w:r>
      <w:r w:rsidR="00242992">
        <w:t xml:space="preserve">FSANZ sought </w:t>
      </w:r>
      <w:r w:rsidR="00403F62">
        <w:t xml:space="preserve">additional </w:t>
      </w:r>
      <w:r w:rsidR="007455B0">
        <w:t>stakeholder input</w:t>
      </w:r>
      <w:r w:rsidR="00242992" w:rsidRPr="007455B0">
        <w:t xml:space="preserve"> on</w:t>
      </w:r>
      <w:r w:rsidR="00242992">
        <w:t xml:space="preserve"> a</w:t>
      </w:r>
      <w:r w:rsidR="00403F62">
        <w:t>n amended</w:t>
      </w:r>
      <w:r w:rsidR="00242992">
        <w:t xml:space="preserve"> draft </w:t>
      </w:r>
      <w:r w:rsidR="00242992" w:rsidRPr="0052144A">
        <w:t xml:space="preserve">variation </w:t>
      </w:r>
      <w:r w:rsidR="00242992">
        <w:t xml:space="preserve">and published an associated report. FSANZ received 17 </w:t>
      </w:r>
      <w:r w:rsidR="0082449E">
        <w:t>submissions</w:t>
      </w:r>
      <w:r w:rsidR="00F526BD">
        <w:t>.</w:t>
      </w:r>
    </w:p>
    <w:p w14:paraId="36186FC2" w14:textId="77777777" w:rsidR="00CA5734" w:rsidRDefault="00CA5734" w:rsidP="00CA5734"/>
    <w:p w14:paraId="628432F3" w14:textId="24A11EF1" w:rsidR="00081B0A" w:rsidRPr="005D1856" w:rsidRDefault="00081B0A" w:rsidP="00CA5734">
      <w:r>
        <w:t xml:space="preserve">FSANZ approved </w:t>
      </w:r>
      <w:r w:rsidR="002B4D0A">
        <w:t xml:space="preserve">an amended </w:t>
      </w:r>
      <w:r>
        <w:t xml:space="preserve">draft </w:t>
      </w:r>
      <w:r w:rsidR="00E30092" w:rsidRPr="002C4FB9">
        <w:t xml:space="preserve">variation </w:t>
      </w:r>
      <w:r w:rsidR="0012388D" w:rsidRPr="002C4FB9">
        <w:t xml:space="preserve">on </w:t>
      </w:r>
      <w:r w:rsidR="005D1856" w:rsidRPr="005D1856">
        <w:t>8 June 2022</w:t>
      </w:r>
      <w:r>
        <w:t xml:space="preserve">. </w:t>
      </w:r>
      <w:r w:rsidR="003A7B84">
        <w:t xml:space="preserve">The </w:t>
      </w:r>
      <w:r w:rsidR="00BB7EB4">
        <w:rPr>
          <w:rFonts w:cs="Helvetica"/>
          <w:lang w:val="en-AU"/>
        </w:rPr>
        <w:t xml:space="preserve">Food </w:t>
      </w:r>
      <w:r w:rsidR="00011187">
        <w:rPr>
          <w:rFonts w:cs="Helvetica"/>
          <w:lang w:val="en-AU"/>
        </w:rPr>
        <w:t>Minister</w:t>
      </w:r>
      <w:r w:rsidR="00BB7EB4">
        <w:rPr>
          <w:rFonts w:cs="Helvetica"/>
          <w:lang w:val="en-AU"/>
        </w:rPr>
        <w:t>s’</w:t>
      </w:r>
      <w:r w:rsidR="00011187">
        <w:rPr>
          <w:rFonts w:cs="Helvetica"/>
          <w:lang w:val="en-AU"/>
        </w:rPr>
        <w:t xml:space="preserve"> </w:t>
      </w:r>
      <w:r w:rsidR="00BB7EB4">
        <w:rPr>
          <w:rFonts w:cs="Helvetica"/>
          <w:lang w:val="en-AU"/>
        </w:rPr>
        <w:t>Meeting</w:t>
      </w:r>
      <w:r w:rsidR="003A7B84">
        <w:t xml:space="preserve"> was notified of FSANZ’s decision on </w:t>
      </w:r>
      <w:r w:rsidR="005D1856" w:rsidRPr="00871FA4">
        <w:t>22 J</w:t>
      </w:r>
      <w:r w:rsidR="005D1856" w:rsidRPr="005D1856">
        <w:t>une 2022</w:t>
      </w:r>
      <w:r w:rsidR="003A7B84" w:rsidRPr="005D1856">
        <w:t>.</w:t>
      </w:r>
    </w:p>
    <w:p w14:paraId="04A38D71" w14:textId="77777777" w:rsidR="00CA5734" w:rsidRPr="005D1856" w:rsidRDefault="00CA5734" w:rsidP="00CA5734"/>
    <w:p w14:paraId="1175D084" w14:textId="66CE8D0E" w:rsidR="00081B0A" w:rsidRDefault="003A7B84" w:rsidP="00292B9B">
      <w:r>
        <w:t>This R</w:t>
      </w:r>
      <w:r w:rsidR="00B425AA">
        <w:t xml:space="preserve">eport is provided pursuant to </w:t>
      </w:r>
      <w:r w:rsidR="009A2699">
        <w:t>paragraph</w:t>
      </w:r>
      <w:r w:rsidR="00081B0A">
        <w:t xml:space="preserve"> </w:t>
      </w:r>
      <w:r w:rsidR="00F33470" w:rsidRPr="00242992">
        <w:t>63(1)(b)</w:t>
      </w:r>
      <w:r w:rsidR="00081B0A" w:rsidRPr="00242992">
        <w:t xml:space="preserve"> of </w:t>
      </w:r>
      <w:r w:rsidR="00081B0A">
        <w:t xml:space="preserve">the </w:t>
      </w:r>
      <w:r w:rsidR="00081B0A" w:rsidRPr="0012388D">
        <w:rPr>
          <w:i/>
        </w:rPr>
        <w:t>Food Standards Australia New Zealand Act 1991</w:t>
      </w:r>
      <w:r w:rsidR="00081B0A">
        <w:t xml:space="preserve"> (the FSANZ Act).</w:t>
      </w:r>
    </w:p>
    <w:p w14:paraId="6FCD0EB9" w14:textId="77777777" w:rsidR="00F526BD" w:rsidRDefault="00F526BD" w:rsidP="00A671E6"/>
    <w:p w14:paraId="28BAC6F2" w14:textId="77777777" w:rsidR="00EB6590" w:rsidRDefault="00EB6590" w:rsidP="00F526BD"/>
    <w:p w14:paraId="206EEF95" w14:textId="77777777" w:rsidR="00A671E6" w:rsidRDefault="00A671E6" w:rsidP="00CC5468">
      <w:pPr>
        <w:sectPr w:rsidR="00A671E6" w:rsidSect="00EB576F">
          <w:footerReference w:type="even" r:id="rId16"/>
          <w:footerReference w:type="default" r:id="rId17"/>
          <w:headerReference w:type="first" r:id="rId18"/>
          <w:pgSz w:w="11906" w:h="16838" w:code="9"/>
          <w:pgMar w:top="1418" w:right="1418" w:bottom="1418" w:left="1418" w:header="709" w:footer="709" w:gutter="0"/>
          <w:pgNumType w:fmt="lowerRoman" w:start="1"/>
          <w:cols w:space="708"/>
          <w:docGrid w:linePitch="360"/>
        </w:sectPr>
      </w:pPr>
    </w:p>
    <w:p w14:paraId="5AE9ED69"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5B45BD85" w14:textId="77777777" w:rsidR="00CE59AA" w:rsidRPr="00346622" w:rsidRDefault="00CE59AA" w:rsidP="00CE59AA">
      <w:pPr>
        <w:rPr>
          <w:rFonts w:cs="Arial"/>
          <w:sz w:val="20"/>
          <w:szCs w:val="20"/>
        </w:rPr>
      </w:pPr>
    </w:p>
    <w:p w14:paraId="6E885045" w14:textId="073559B1" w:rsidR="006339BD"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103197686" w:history="1">
        <w:r w:rsidR="006339BD" w:rsidRPr="00514AD1">
          <w:rPr>
            <w:rStyle w:val="Hyperlink"/>
            <w:noProof/>
          </w:rPr>
          <w:t>Executive summary</w:t>
        </w:r>
        <w:r w:rsidR="006339BD">
          <w:rPr>
            <w:noProof/>
            <w:webHidden/>
          </w:rPr>
          <w:tab/>
        </w:r>
        <w:r w:rsidR="006339BD">
          <w:rPr>
            <w:noProof/>
            <w:webHidden/>
          </w:rPr>
          <w:fldChar w:fldCharType="begin"/>
        </w:r>
        <w:r w:rsidR="006339BD">
          <w:rPr>
            <w:noProof/>
            <w:webHidden/>
          </w:rPr>
          <w:instrText xml:space="preserve"> PAGEREF _Toc103197686 \h </w:instrText>
        </w:r>
        <w:r w:rsidR="006339BD">
          <w:rPr>
            <w:noProof/>
            <w:webHidden/>
          </w:rPr>
        </w:r>
        <w:r w:rsidR="006339BD">
          <w:rPr>
            <w:noProof/>
            <w:webHidden/>
          </w:rPr>
          <w:fldChar w:fldCharType="separate"/>
        </w:r>
        <w:r w:rsidR="00C227B2">
          <w:rPr>
            <w:noProof/>
            <w:webHidden/>
          </w:rPr>
          <w:t>2</w:t>
        </w:r>
        <w:r w:rsidR="006339BD">
          <w:rPr>
            <w:noProof/>
            <w:webHidden/>
          </w:rPr>
          <w:fldChar w:fldCharType="end"/>
        </w:r>
      </w:hyperlink>
    </w:p>
    <w:p w14:paraId="7E7C5BBA" w14:textId="086A182B" w:rsidR="006339BD" w:rsidRDefault="001D3755">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3197687" w:history="1">
        <w:r w:rsidR="006339BD" w:rsidRPr="00514AD1">
          <w:rPr>
            <w:rStyle w:val="Hyperlink"/>
            <w:noProof/>
          </w:rPr>
          <w:t>1</w:t>
        </w:r>
        <w:r w:rsidR="006339BD">
          <w:rPr>
            <w:rFonts w:eastAsiaTheme="minorEastAsia" w:cstheme="minorBidi"/>
            <w:b w:val="0"/>
            <w:bCs w:val="0"/>
            <w:caps w:val="0"/>
            <w:noProof/>
            <w:sz w:val="22"/>
            <w:szCs w:val="22"/>
            <w:lang w:eastAsia="en-GB" w:bidi="ar-SA"/>
          </w:rPr>
          <w:tab/>
        </w:r>
        <w:r w:rsidR="006339BD" w:rsidRPr="00514AD1">
          <w:rPr>
            <w:rStyle w:val="Hyperlink"/>
            <w:noProof/>
          </w:rPr>
          <w:t>Introduction</w:t>
        </w:r>
        <w:r w:rsidR="006339BD">
          <w:rPr>
            <w:noProof/>
            <w:webHidden/>
          </w:rPr>
          <w:tab/>
        </w:r>
        <w:r w:rsidR="006339BD">
          <w:rPr>
            <w:noProof/>
            <w:webHidden/>
          </w:rPr>
          <w:fldChar w:fldCharType="begin"/>
        </w:r>
        <w:r w:rsidR="006339BD">
          <w:rPr>
            <w:noProof/>
            <w:webHidden/>
          </w:rPr>
          <w:instrText xml:space="preserve"> PAGEREF _Toc103197687 \h </w:instrText>
        </w:r>
        <w:r w:rsidR="006339BD">
          <w:rPr>
            <w:noProof/>
            <w:webHidden/>
          </w:rPr>
        </w:r>
        <w:r w:rsidR="006339BD">
          <w:rPr>
            <w:noProof/>
            <w:webHidden/>
          </w:rPr>
          <w:fldChar w:fldCharType="separate"/>
        </w:r>
        <w:r w:rsidR="00C227B2">
          <w:rPr>
            <w:noProof/>
            <w:webHidden/>
          </w:rPr>
          <w:t>4</w:t>
        </w:r>
        <w:r w:rsidR="006339BD">
          <w:rPr>
            <w:noProof/>
            <w:webHidden/>
          </w:rPr>
          <w:fldChar w:fldCharType="end"/>
        </w:r>
      </w:hyperlink>
    </w:p>
    <w:p w14:paraId="03D7E7BC" w14:textId="218D427A" w:rsidR="006339BD" w:rsidRDefault="001D3755">
      <w:pPr>
        <w:pStyle w:val="TOC2"/>
        <w:tabs>
          <w:tab w:val="left" w:pos="880"/>
          <w:tab w:val="right" w:leader="dot" w:pos="9060"/>
        </w:tabs>
        <w:rPr>
          <w:rFonts w:eastAsiaTheme="minorEastAsia" w:cstheme="minorBidi"/>
          <w:smallCaps w:val="0"/>
          <w:noProof/>
          <w:sz w:val="22"/>
          <w:szCs w:val="22"/>
          <w:lang w:eastAsia="en-GB" w:bidi="ar-SA"/>
        </w:rPr>
      </w:pPr>
      <w:hyperlink w:anchor="_Toc103197688" w:history="1">
        <w:r w:rsidR="006339BD" w:rsidRPr="00514AD1">
          <w:rPr>
            <w:rStyle w:val="Hyperlink"/>
            <w:noProof/>
          </w:rPr>
          <w:t>1.1</w:t>
        </w:r>
        <w:r w:rsidR="006339BD">
          <w:rPr>
            <w:rFonts w:eastAsiaTheme="minorEastAsia" w:cstheme="minorBidi"/>
            <w:smallCaps w:val="0"/>
            <w:noProof/>
            <w:sz w:val="22"/>
            <w:szCs w:val="22"/>
            <w:lang w:eastAsia="en-GB" w:bidi="ar-SA"/>
          </w:rPr>
          <w:tab/>
        </w:r>
        <w:r w:rsidR="006339BD" w:rsidRPr="00514AD1">
          <w:rPr>
            <w:rStyle w:val="Hyperlink"/>
            <w:noProof/>
          </w:rPr>
          <w:t>Proposal background</w:t>
        </w:r>
        <w:r w:rsidR="006339BD">
          <w:rPr>
            <w:noProof/>
            <w:webHidden/>
          </w:rPr>
          <w:tab/>
        </w:r>
        <w:r w:rsidR="006339BD">
          <w:rPr>
            <w:noProof/>
            <w:webHidden/>
          </w:rPr>
          <w:fldChar w:fldCharType="begin"/>
        </w:r>
        <w:r w:rsidR="006339BD">
          <w:rPr>
            <w:noProof/>
            <w:webHidden/>
          </w:rPr>
          <w:instrText xml:space="preserve"> PAGEREF _Toc103197688 \h </w:instrText>
        </w:r>
        <w:r w:rsidR="006339BD">
          <w:rPr>
            <w:noProof/>
            <w:webHidden/>
          </w:rPr>
        </w:r>
        <w:r w:rsidR="006339BD">
          <w:rPr>
            <w:noProof/>
            <w:webHidden/>
          </w:rPr>
          <w:fldChar w:fldCharType="separate"/>
        </w:r>
        <w:r w:rsidR="00C227B2">
          <w:rPr>
            <w:noProof/>
            <w:webHidden/>
          </w:rPr>
          <w:t>4</w:t>
        </w:r>
        <w:r w:rsidR="006339BD">
          <w:rPr>
            <w:noProof/>
            <w:webHidden/>
          </w:rPr>
          <w:fldChar w:fldCharType="end"/>
        </w:r>
      </w:hyperlink>
    </w:p>
    <w:p w14:paraId="0CE1BFD6" w14:textId="72117995" w:rsidR="006339BD" w:rsidRDefault="001D3755">
      <w:pPr>
        <w:pStyle w:val="TOC2"/>
        <w:tabs>
          <w:tab w:val="left" w:pos="880"/>
          <w:tab w:val="right" w:leader="dot" w:pos="9060"/>
        </w:tabs>
        <w:rPr>
          <w:rFonts w:eastAsiaTheme="minorEastAsia" w:cstheme="minorBidi"/>
          <w:smallCaps w:val="0"/>
          <w:noProof/>
          <w:sz w:val="22"/>
          <w:szCs w:val="22"/>
          <w:lang w:eastAsia="en-GB" w:bidi="ar-SA"/>
        </w:rPr>
      </w:pPr>
      <w:hyperlink w:anchor="_Toc103197689" w:history="1">
        <w:r w:rsidR="006339BD" w:rsidRPr="00514AD1">
          <w:rPr>
            <w:rStyle w:val="Hyperlink"/>
            <w:noProof/>
          </w:rPr>
          <w:t>1.2</w:t>
        </w:r>
        <w:r w:rsidR="006339BD">
          <w:rPr>
            <w:rFonts w:eastAsiaTheme="minorEastAsia" w:cstheme="minorBidi"/>
            <w:smallCaps w:val="0"/>
            <w:noProof/>
            <w:sz w:val="22"/>
            <w:szCs w:val="22"/>
            <w:lang w:eastAsia="en-GB" w:bidi="ar-SA"/>
          </w:rPr>
          <w:tab/>
        </w:r>
        <w:r w:rsidR="006339BD" w:rsidRPr="00514AD1">
          <w:rPr>
            <w:rStyle w:val="Hyperlink"/>
            <w:noProof/>
          </w:rPr>
          <w:t>The modified Proposal</w:t>
        </w:r>
        <w:r w:rsidR="006339BD">
          <w:rPr>
            <w:noProof/>
            <w:webHidden/>
          </w:rPr>
          <w:tab/>
        </w:r>
        <w:r w:rsidR="006339BD">
          <w:rPr>
            <w:noProof/>
            <w:webHidden/>
          </w:rPr>
          <w:fldChar w:fldCharType="begin"/>
        </w:r>
        <w:r w:rsidR="006339BD">
          <w:rPr>
            <w:noProof/>
            <w:webHidden/>
          </w:rPr>
          <w:instrText xml:space="preserve"> PAGEREF _Toc103197689 \h </w:instrText>
        </w:r>
        <w:r w:rsidR="006339BD">
          <w:rPr>
            <w:noProof/>
            <w:webHidden/>
          </w:rPr>
        </w:r>
        <w:r w:rsidR="006339BD">
          <w:rPr>
            <w:noProof/>
            <w:webHidden/>
          </w:rPr>
          <w:fldChar w:fldCharType="separate"/>
        </w:r>
        <w:r w:rsidR="00C227B2">
          <w:rPr>
            <w:noProof/>
            <w:webHidden/>
          </w:rPr>
          <w:t>4</w:t>
        </w:r>
        <w:r w:rsidR="006339BD">
          <w:rPr>
            <w:noProof/>
            <w:webHidden/>
          </w:rPr>
          <w:fldChar w:fldCharType="end"/>
        </w:r>
      </w:hyperlink>
    </w:p>
    <w:p w14:paraId="4B89327C" w14:textId="73150C61" w:rsidR="006339BD" w:rsidRDefault="001D3755">
      <w:pPr>
        <w:pStyle w:val="TOC2"/>
        <w:tabs>
          <w:tab w:val="left" w:pos="880"/>
          <w:tab w:val="right" w:leader="dot" w:pos="9060"/>
        </w:tabs>
        <w:rPr>
          <w:rFonts w:eastAsiaTheme="minorEastAsia" w:cstheme="minorBidi"/>
          <w:smallCaps w:val="0"/>
          <w:noProof/>
          <w:sz w:val="22"/>
          <w:szCs w:val="22"/>
          <w:lang w:eastAsia="en-GB" w:bidi="ar-SA"/>
        </w:rPr>
      </w:pPr>
      <w:hyperlink w:anchor="_Toc103197690" w:history="1">
        <w:r w:rsidR="006339BD" w:rsidRPr="00514AD1">
          <w:rPr>
            <w:rStyle w:val="Hyperlink"/>
            <w:noProof/>
          </w:rPr>
          <w:t>1.3</w:t>
        </w:r>
        <w:r w:rsidR="006339BD">
          <w:rPr>
            <w:rFonts w:eastAsiaTheme="minorEastAsia" w:cstheme="minorBidi"/>
            <w:smallCaps w:val="0"/>
            <w:noProof/>
            <w:sz w:val="22"/>
            <w:szCs w:val="22"/>
            <w:lang w:eastAsia="en-GB" w:bidi="ar-SA"/>
          </w:rPr>
          <w:tab/>
        </w:r>
        <w:r w:rsidR="006339BD" w:rsidRPr="00514AD1">
          <w:rPr>
            <w:rStyle w:val="Hyperlink"/>
            <w:noProof/>
          </w:rPr>
          <w:t>The current Standards</w:t>
        </w:r>
        <w:r w:rsidR="006339BD">
          <w:rPr>
            <w:noProof/>
            <w:webHidden/>
          </w:rPr>
          <w:tab/>
        </w:r>
        <w:r w:rsidR="006339BD">
          <w:rPr>
            <w:noProof/>
            <w:webHidden/>
          </w:rPr>
          <w:fldChar w:fldCharType="begin"/>
        </w:r>
        <w:r w:rsidR="006339BD">
          <w:rPr>
            <w:noProof/>
            <w:webHidden/>
          </w:rPr>
          <w:instrText xml:space="preserve"> PAGEREF _Toc103197690 \h </w:instrText>
        </w:r>
        <w:r w:rsidR="006339BD">
          <w:rPr>
            <w:noProof/>
            <w:webHidden/>
          </w:rPr>
        </w:r>
        <w:r w:rsidR="006339BD">
          <w:rPr>
            <w:noProof/>
            <w:webHidden/>
          </w:rPr>
          <w:fldChar w:fldCharType="separate"/>
        </w:r>
        <w:r w:rsidR="00C227B2">
          <w:rPr>
            <w:noProof/>
            <w:webHidden/>
          </w:rPr>
          <w:t>5</w:t>
        </w:r>
        <w:r w:rsidR="006339BD">
          <w:rPr>
            <w:noProof/>
            <w:webHidden/>
          </w:rPr>
          <w:fldChar w:fldCharType="end"/>
        </w:r>
      </w:hyperlink>
    </w:p>
    <w:p w14:paraId="69628C4C" w14:textId="64BA07A7" w:rsidR="006339BD" w:rsidRDefault="001D3755">
      <w:pPr>
        <w:pStyle w:val="TOC3"/>
        <w:rPr>
          <w:rFonts w:eastAsiaTheme="minorEastAsia" w:cstheme="minorBidi"/>
          <w:i w:val="0"/>
          <w:iCs w:val="0"/>
          <w:noProof/>
          <w:sz w:val="22"/>
          <w:szCs w:val="22"/>
          <w:lang w:eastAsia="en-GB" w:bidi="ar-SA"/>
        </w:rPr>
      </w:pPr>
      <w:hyperlink w:anchor="_Toc103197691" w:history="1">
        <w:r w:rsidR="006339BD" w:rsidRPr="00514AD1">
          <w:rPr>
            <w:rStyle w:val="Hyperlink"/>
            <w:noProof/>
          </w:rPr>
          <w:t>1.3.1</w:t>
        </w:r>
        <w:r w:rsidR="006339BD">
          <w:rPr>
            <w:rFonts w:eastAsiaTheme="minorEastAsia" w:cstheme="minorBidi"/>
            <w:i w:val="0"/>
            <w:iCs w:val="0"/>
            <w:noProof/>
            <w:sz w:val="22"/>
            <w:szCs w:val="22"/>
            <w:lang w:eastAsia="en-GB" w:bidi="ar-SA"/>
          </w:rPr>
          <w:tab/>
        </w:r>
        <w:r w:rsidR="006339BD" w:rsidRPr="00514AD1">
          <w:rPr>
            <w:rStyle w:val="Hyperlink"/>
            <w:noProof/>
          </w:rPr>
          <w:t>Standard 2.6.2</w:t>
        </w:r>
        <w:r w:rsidR="006339BD">
          <w:rPr>
            <w:noProof/>
            <w:webHidden/>
          </w:rPr>
          <w:tab/>
        </w:r>
        <w:r w:rsidR="006339BD">
          <w:rPr>
            <w:noProof/>
            <w:webHidden/>
          </w:rPr>
          <w:fldChar w:fldCharType="begin"/>
        </w:r>
        <w:r w:rsidR="006339BD">
          <w:rPr>
            <w:noProof/>
            <w:webHidden/>
          </w:rPr>
          <w:instrText xml:space="preserve"> PAGEREF _Toc103197691 \h </w:instrText>
        </w:r>
        <w:r w:rsidR="006339BD">
          <w:rPr>
            <w:noProof/>
            <w:webHidden/>
          </w:rPr>
        </w:r>
        <w:r w:rsidR="006339BD">
          <w:rPr>
            <w:noProof/>
            <w:webHidden/>
          </w:rPr>
          <w:fldChar w:fldCharType="separate"/>
        </w:r>
        <w:r w:rsidR="00C227B2">
          <w:rPr>
            <w:noProof/>
            <w:webHidden/>
          </w:rPr>
          <w:t>5</w:t>
        </w:r>
        <w:r w:rsidR="006339BD">
          <w:rPr>
            <w:noProof/>
            <w:webHidden/>
          </w:rPr>
          <w:fldChar w:fldCharType="end"/>
        </w:r>
      </w:hyperlink>
    </w:p>
    <w:p w14:paraId="04AD23DE" w14:textId="4256929B" w:rsidR="006339BD" w:rsidRDefault="001D3755">
      <w:pPr>
        <w:pStyle w:val="TOC3"/>
        <w:rPr>
          <w:rFonts w:eastAsiaTheme="minorEastAsia" w:cstheme="minorBidi"/>
          <w:i w:val="0"/>
          <w:iCs w:val="0"/>
          <w:noProof/>
          <w:sz w:val="22"/>
          <w:szCs w:val="22"/>
          <w:lang w:eastAsia="en-GB" w:bidi="ar-SA"/>
        </w:rPr>
      </w:pPr>
      <w:hyperlink w:anchor="_Toc103197692" w:history="1">
        <w:r w:rsidR="006339BD" w:rsidRPr="00514AD1">
          <w:rPr>
            <w:rStyle w:val="Hyperlink"/>
            <w:noProof/>
          </w:rPr>
          <w:t>1.3.2</w:t>
        </w:r>
        <w:r w:rsidR="006339BD">
          <w:rPr>
            <w:rFonts w:eastAsiaTheme="minorEastAsia" w:cstheme="minorBidi"/>
            <w:i w:val="0"/>
            <w:iCs w:val="0"/>
            <w:noProof/>
            <w:sz w:val="22"/>
            <w:szCs w:val="22"/>
            <w:lang w:eastAsia="en-GB" w:bidi="ar-SA"/>
          </w:rPr>
          <w:tab/>
        </w:r>
        <w:r w:rsidR="006339BD" w:rsidRPr="00514AD1">
          <w:rPr>
            <w:rStyle w:val="Hyperlink"/>
            <w:noProof/>
          </w:rPr>
          <w:t>Standard 1.2.7</w:t>
        </w:r>
        <w:r w:rsidR="006339BD">
          <w:rPr>
            <w:noProof/>
            <w:webHidden/>
          </w:rPr>
          <w:tab/>
        </w:r>
        <w:r w:rsidR="006339BD">
          <w:rPr>
            <w:noProof/>
            <w:webHidden/>
          </w:rPr>
          <w:fldChar w:fldCharType="begin"/>
        </w:r>
        <w:r w:rsidR="006339BD">
          <w:rPr>
            <w:noProof/>
            <w:webHidden/>
          </w:rPr>
          <w:instrText xml:space="preserve"> PAGEREF _Toc103197692 \h </w:instrText>
        </w:r>
        <w:r w:rsidR="006339BD">
          <w:rPr>
            <w:noProof/>
            <w:webHidden/>
          </w:rPr>
        </w:r>
        <w:r w:rsidR="006339BD">
          <w:rPr>
            <w:noProof/>
            <w:webHidden/>
          </w:rPr>
          <w:fldChar w:fldCharType="separate"/>
        </w:r>
        <w:r w:rsidR="00C227B2">
          <w:rPr>
            <w:noProof/>
            <w:webHidden/>
          </w:rPr>
          <w:t>6</w:t>
        </w:r>
        <w:r w:rsidR="006339BD">
          <w:rPr>
            <w:noProof/>
            <w:webHidden/>
          </w:rPr>
          <w:fldChar w:fldCharType="end"/>
        </w:r>
      </w:hyperlink>
    </w:p>
    <w:p w14:paraId="0145B07A" w14:textId="4235AEF7" w:rsidR="006339BD" w:rsidRDefault="001D3755">
      <w:pPr>
        <w:pStyle w:val="TOC3"/>
        <w:rPr>
          <w:rFonts w:eastAsiaTheme="minorEastAsia" w:cstheme="minorBidi"/>
          <w:i w:val="0"/>
          <w:iCs w:val="0"/>
          <w:noProof/>
          <w:sz w:val="22"/>
          <w:szCs w:val="22"/>
          <w:lang w:eastAsia="en-GB" w:bidi="ar-SA"/>
        </w:rPr>
      </w:pPr>
      <w:hyperlink w:anchor="_Toc103197693" w:history="1">
        <w:r w:rsidR="006339BD" w:rsidRPr="00514AD1">
          <w:rPr>
            <w:rStyle w:val="Hyperlink"/>
            <w:noProof/>
          </w:rPr>
          <w:t>1.3.3</w:t>
        </w:r>
        <w:r w:rsidR="006339BD">
          <w:rPr>
            <w:rFonts w:eastAsiaTheme="minorEastAsia" w:cstheme="minorBidi"/>
            <w:i w:val="0"/>
            <w:iCs w:val="0"/>
            <w:noProof/>
            <w:sz w:val="22"/>
            <w:szCs w:val="22"/>
            <w:lang w:eastAsia="en-GB" w:bidi="ar-SA"/>
          </w:rPr>
          <w:tab/>
        </w:r>
        <w:r w:rsidR="006339BD" w:rsidRPr="00514AD1">
          <w:rPr>
            <w:rStyle w:val="Hyperlink"/>
            <w:noProof/>
          </w:rPr>
          <w:t>Standard 1.2.1</w:t>
        </w:r>
        <w:r w:rsidR="006339BD">
          <w:rPr>
            <w:noProof/>
            <w:webHidden/>
          </w:rPr>
          <w:tab/>
        </w:r>
        <w:r w:rsidR="006339BD">
          <w:rPr>
            <w:noProof/>
            <w:webHidden/>
          </w:rPr>
          <w:fldChar w:fldCharType="begin"/>
        </w:r>
        <w:r w:rsidR="006339BD">
          <w:rPr>
            <w:noProof/>
            <w:webHidden/>
          </w:rPr>
          <w:instrText xml:space="preserve"> PAGEREF _Toc103197693 \h </w:instrText>
        </w:r>
        <w:r w:rsidR="006339BD">
          <w:rPr>
            <w:noProof/>
            <w:webHidden/>
          </w:rPr>
        </w:r>
        <w:r w:rsidR="006339BD">
          <w:rPr>
            <w:noProof/>
            <w:webHidden/>
          </w:rPr>
          <w:fldChar w:fldCharType="separate"/>
        </w:r>
        <w:r w:rsidR="00C227B2">
          <w:rPr>
            <w:noProof/>
            <w:webHidden/>
          </w:rPr>
          <w:t>6</w:t>
        </w:r>
        <w:r w:rsidR="006339BD">
          <w:rPr>
            <w:noProof/>
            <w:webHidden/>
          </w:rPr>
          <w:fldChar w:fldCharType="end"/>
        </w:r>
      </w:hyperlink>
    </w:p>
    <w:p w14:paraId="698FEDF7" w14:textId="5278BBE9" w:rsidR="006339BD" w:rsidRDefault="001D3755">
      <w:pPr>
        <w:pStyle w:val="TOC3"/>
        <w:rPr>
          <w:rFonts w:eastAsiaTheme="minorEastAsia" w:cstheme="minorBidi"/>
          <w:i w:val="0"/>
          <w:iCs w:val="0"/>
          <w:noProof/>
          <w:sz w:val="22"/>
          <w:szCs w:val="22"/>
          <w:lang w:eastAsia="en-GB" w:bidi="ar-SA"/>
        </w:rPr>
      </w:pPr>
      <w:hyperlink w:anchor="_Toc103197694" w:history="1">
        <w:r w:rsidR="006339BD" w:rsidRPr="00514AD1">
          <w:rPr>
            <w:rStyle w:val="Hyperlink"/>
            <w:noProof/>
          </w:rPr>
          <w:t>1.3.4</w:t>
        </w:r>
        <w:r w:rsidR="006339BD">
          <w:rPr>
            <w:rFonts w:eastAsiaTheme="minorEastAsia" w:cstheme="minorBidi"/>
            <w:i w:val="0"/>
            <w:iCs w:val="0"/>
            <w:noProof/>
            <w:sz w:val="22"/>
            <w:szCs w:val="22"/>
            <w:lang w:eastAsia="en-GB" w:bidi="ar-SA"/>
          </w:rPr>
          <w:tab/>
        </w:r>
        <w:r w:rsidR="006339BD" w:rsidRPr="00514AD1">
          <w:rPr>
            <w:rStyle w:val="Hyperlink"/>
            <w:noProof/>
          </w:rPr>
          <w:t>Standard 1.2.2</w:t>
        </w:r>
        <w:r w:rsidR="006339BD">
          <w:rPr>
            <w:noProof/>
            <w:webHidden/>
          </w:rPr>
          <w:tab/>
        </w:r>
        <w:r w:rsidR="006339BD">
          <w:rPr>
            <w:noProof/>
            <w:webHidden/>
          </w:rPr>
          <w:fldChar w:fldCharType="begin"/>
        </w:r>
        <w:r w:rsidR="006339BD">
          <w:rPr>
            <w:noProof/>
            <w:webHidden/>
          </w:rPr>
          <w:instrText xml:space="preserve"> PAGEREF _Toc103197694 \h </w:instrText>
        </w:r>
        <w:r w:rsidR="006339BD">
          <w:rPr>
            <w:noProof/>
            <w:webHidden/>
          </w:rPr>
        </w:r>
        <w:r w:rsidR="006339BD">
          <w:rPr>
            <w:noProof/>
            <w:webHidden/>
          </w:rPr>
          <w:fldChar w:fldCharType="separate"/>
        </w:r>
        <w:r w:rsidR="00C227B2">
          <w:rPr>
            <w:noProof/>
            <w:webHidden/>
          </w:rPr>
          <w:t>7</w:t>
        </w:r>
        <w:r w:rsidR="006339BD">
          <w:rPr>
            <w:noProof/>
            <w:webHidden/>
          </w:rPr>
          <w:fldChar w:fldCharType="end"/>
        </w:r>
      </w:hyperlink>
    </w:p>
    <w:p w14:paraId="51A91F08" w14:textId="795A5A00" w:rsidR="006339BD" w:rsidRDefault="001D3755">
      <w:pPr>
        <w:pStyle w:val="TOC2"/>
        <w:tabs>
          <w:tab w:val="left" w:pos="880"/>
          <w:tab w:val="right" w:leader="dot" w:pos="9060"/>
        </w:tabs>
        <w:rPr>
          <w:rFonts w:eastAsiaTheme="minorEastAsia" w:cstheme="minorBidi"/>
          <w:smallCaps w:val="0"/>
          <w:noProof/>
          <w:sz w:val="22"/>
          <w:szCs w:val="22"/>
          <w:lang w:eastAsia="en-GB" w:bidi="ar-SA"/>
        </w:rPr>
      </w:pPr>
      <w:hyperlink w:anchor="_Toc103197695" w:history="1">
        <w:r w:rsidR="006339BD" w:rsidRPr="00514AD1">
          <w:rPr>
            <w:rStyle w:val="Hyperlink"/>
            <w:noProof/>
          </w:rPr>
          <w:t>1.4</w:t>
        </w:r>
        <w:r w:rsidR="006339BD">
          <w:rPr>
            <w:rFonts w:eastAsiaTheme="minorEastAsia" w:cstheme="minorBidi"/>
            <w:smallCaps w:val="0"/>
            <w:noProof/>
            <w:sz w:val="22"/>
            <w:szCs w:val="22"/>
            <w:lang w:eastAsia="en-GB" w:bidi="ar-SA"/>
          </w:rPr>
          <w:tab/>
        </w:r>
        <w:r w:rsidR="006339BD" w:rsidRPr="00514AD1">
          <w:rPr>
            <w:rStyle w:val="Hyperlink"/>
            <w:noProof/>
          </w:rPr>
          <w:t>International regulations</w:t>
        </w:r>
        <w:r w:rsidR="006339BD">
          <w:rPr>
            <w:noProof/>
            <w:webHidden/>
          </w:rPr>
          <w:tab/>
        </w:r>
        <w:r w:rsidR="006339BD">
          <w:rPr>
            <w:noProof/>
            <w:webHidden/>
          </w:rPr>
          <w:fldChar w:fldCharType="begin"/>
        </w:r>
        <w:r w:rsidR="006339BD">
          <w:rPr>
            <w:noProof/>
            <w:webHidden/>
          </w:rPr>
          <w:instrText xml:space="preserve"> PAGEREF _Toc103197695 \h </w:instrText>
        </w:r>
        <w:r w:rsidR="006339BD">
          <w:rPr>
            <w:noProof/>
            <w:webHidden/>
          </w:rPr>
        </w:r>
        <w:r w:rsidR="006339BD">
          <w:rPr>
            <w:noProof/>
            <w:webHidden/>
          </w:rPr>
          <w:fldChar w:fldCharType="separate"/>
        </w:r>
        <w:r w:rsidR="00C227B2">
          <w:rPr>
            <w:noProof/>
            <w:webHidden/>
          </w:rPr>
          <w:t>7</w:t>
        </w:r>
        <w:r w:rsidR="006339BD">
          <w:rPr>
            <w:noProof/>
            <w:webHidden/>
          </w:rPr>
          <w:fldChar w:fldCharType="end"/>
        </w:r>
      </w:hyperlink>
    </w:p>
    <w:p w14:paraId="60185656" w14:textId="004FB9B6" w:rsidR="006339BD" w:rsidRDefault="001D3755">
      <w:pPr>
        <w:pStyle w:val="TOC2"/>
        <w:tabs>
          <w:tab w:val="left" w:pos="880"/>
          <w:tab w:val="right" w:leader="dot" w:pos="9060"/>
        </w:tabs>
        <w:rPr>
          <w:rFonts w:eastAsiaTheme="minorEastAsia" w:cstheme="minorBidi"/>
          <w:smallCaps w:val="0"/>
          <w:noProof/>
          <w:sz w:val="22"/>
          <w:szCs w:val="22"/>
          <w:lang w:eastAsia="en-GB" w:bidi="ar-SA"/>
        </w:rPr>
      </w:pPr>
      <w:hyperlink w:anchor="_Toc103197696" w:history="1">
        <w:r w:rsidR="006339BD" w:rsidRPr="00514AD1">
          <w:rPr>
            <w:rStyle w:val="Hyperlink"/>
            <w:noProof/>
            <w:u w:color="FFFF00"/>
          </w:rPr>
          <w:t>1.5</w:t>
        </w:r>
        <w:r w:rsidR="006339BD">
          <w:rPr>
            <w:rFonts w:eastAsiaTheme="minorEastAsia" w:cstheme="minorBidi"/>
            <w:smallCaps w:val="0"/>
            <w:noProof/>
            <w:sz w:val="22"/>
            <w:szCs w:val="22"/>
            <w:lang w:eastAsia="en-GB" w:bidi="ar-SA"/>
          </w:rPr>
          <w:tab/>
        </w:r>
        <w:r w:rsidR="006339BD" w:rsidRPr="00514AD1">
          <w:rPr>
            <w:rStyle w:val="Hyperlink"/>
            <w:noProof/>
            <w:u w:color="FFFF00"/>
          </w:rPr>
          <w:t xml:space="preserve">Reasons for </w:t>
        </w:r>
        <w:r w:rsidR="006339BD" w:rsidRPr="00514AD1">
          <w:rPr>
            <w:rStyle w:val="Hyperlink"/>
            <w:noProof/>
          </w:rPr>
          <w:t>preparing the Proposal</w:t>
        </w:r>
        <w:r w:rsidR="006339BD">
          <w:rPr>
            <w:noProof/>
            <w:webHidden/>
          </w:rPr>
          <w:tab/>
        </w:r>
        <w:r w:rsidR="006339BD">
          <w:rPr>
            <w:noProof/>
            <w:webHidden/>
          </w:rPr>
          <w:fldChar w:fldCharType="begin"/>
        </w:r>
        <w:r w:rsidR="006339BD">
          <w:rPr>
            <w:noProof/>
            <w:webHidden/>
          </w:rPr>
          <w:instrText xml:space="preserve"> PAGEREF _Toc103197696 \h </w:instrText>
        </w:r>
        <w:r w:rsidR="006339BD">
          <w:rPr>
            <w:noProof/>
            <w:webHidden/>
          </w:rPr>
        </w:r>
        <w:r w:rsidR="006339BD">
          <w:rPr>
            <w:noProof/>
            <w:webHidden/>
          </w:rPr>
          <w:fldChar w:fldCharType="separate"/>
        </w:r>
        <w:r w:rsidR="00C227B2">
          <w:rPr>
            <w:noProof/>
            <w:webHidden/>
          </w:rPr>
          <w:t>7</w:t>
        </w:r>
        <w:r w:rsidR="006339BD">
          <w:rPr>
            <w:noProof/>
            <w:webHidden/>
          </w:rPr>
          <w:fldChar w:fldCharType="end"/>
        </w:r>
      </w:hyperlink>
    </w:p>
    <w:p w14:paraId="20B518AE" w14:textId="058214CA" w:rsidR="006339BD" w:rsidRDefault="001D3755">
      <w:pPr>
        <w:pStyle w:val="TOC2"/>
        <w:tabs>
          <w:tab w:val="left" w:pos="880"/>
          <w:tab w:val="right" w:leader="dot" w:pos="9060"/>
        </w:tabs>
        <w:rPr>
          <w:rFonts w:eastAsiaTheme="minorEastAsia" w:cstheme="minorBidi"/>
          <w:smallCaps w:val="0"/>
          <w:noProof/>
          <w:sz w:val="22"/>
          <w:szCs w:val="22"/>
          <w:lang w:eastAsia="en-GB" w:bidi="ar-SA"/>
        </w:rPr>
      </w:pPr>
      <w:hyperlink w:anchor="_Toc103197697" w:history="1">
        <w:r w:rsidR="006339BD" w:rsidRPr="00514AD1">
          <w:rPr>
            <w:rStyle w:val="Hyperlink"/>
            <w:noProof/>
          </w:rPr>
          <w:t>1.6</w:t>
        </w:r>
        <w:r w:rsidR="006339BD">
          <w:rPr>
            <w:rFonts w:eastAsiaTheme="minorEastAsia" w:cstheme="minorBidi"/>
            <w:smallCaps w:val="0"/>
            <w:noProof/>
            <w:sz w:val="22"/>
            <w:szCs w:val="22"/>
            <w:lang w:eastAsia="en-GB" w:bidi="ar-SA"/>
          </w:rPr>
          <w:tab/>
        </w:r>
        <w:r w:rsidR="006339BD" w:rsidRPr="00514AD1">
          <w:rPr>
            <w:rStyle w:val="Hyperlink"/>
            <w:noProof/>
          </w:rPr>
          <w:t>Procedure for assessment</w:t>
        </w:r>
        <w:r w:rsidR="006339BD">
          <w:rPr>
            <w:noProof/>
            <w:webHidden/>
          </w:rPr>
          <w:tab/>
        </w:r>
        <w:r w:rsidR="006339BD">
          <w:rPr>
            <w:noProof/>
            <w:webHidden/>
          </w:rPr>
          <w:fldChar w:fldCharType="begin"/>
        </w:r>
        <w:r w:rsidR="006339BD">
          <w:rPr>
            <w:noProof/>
            <w:webHidden/>
          </w:rPr>
          <w:instrText xml:space="preserve"> PAGEREF _Toc103197697 \h </w:instrText>
        </w:r>
        <w:r w:rsidR="006339BD">
          <w:rPr>
            <w:noProof/>
            <w:webHidden/>
          </w:rPr>
        </w:r>
        <w:r w:rsidR="006339BD">
          <w:rPr>
            <w:noProof/>
            <w:webHidden/>
          </w:rPr>
          <w:fldChar w:fldCharType="separate"/>
        </w:r>
        <w:r w:rsidR="00C227B2">
          <w:rPr>
            <w:noProof/>
            <w:webHidden/>
          </w:rPr>
          <w:t>7</w:t>
        </w:r>
        <w:r w:rsidR="006339BD">
          <w:rPr>
            <w:noProof/>
            <w:webHidden/>
          </w:rPr>
          <w:fldChar w:fldCharType="end"/>
        </w:r>
      </w:hyperlink>
    </w:p>
    <w:p w14:paraId="5E809337" w14:textId="2190485D" w:rsidR="006339BD" w:rsidRDefault="001D3755">
      <w:pPr>
        <w:pStyle w:val="TOC2"/>
        <w:tabs>
          <w:tab w:val="left" w:pos="880"/>
          <w:tab w:val="right" w:leader="dot" w:pos="9060"/>
        </w:tabs>
        <w:rPr>
          <w:rFonts w:eastAsiaTheme="minorEastAsia" w:cstheme="minorBidi"/>
          <w:smallCaps w:val="0"/>
          <w:noProof/>
          <w:sz w:val="22"/>
          <w:szCs w:val="22"/>
          <w:lang w:eastAsia="en-GB" w:bidi="ar-SA"/>
        </w:rPr>
      </w:pPr>
      <w:hyperlink w:anchor="_Toc103197698" w:history="1">
        <w:r w:rsidR="006339BD" w:rsidRPr="00514AD1">
          <w:rPr>
            <w:rStyle w:val="Hyperlink"/>
            <w:noProof/>
          </w:rPr>
          <w:t>1.7</w:t>
        </w:r>
        <w:r w:rsidR="006339BD">
          <w:rPr>
            <w:rFonts w:eastAsiaTheme="minorEastAsia" w:cstheme="minorBidi"/>
            <w:smallCaps w:val="0"/>
            <w:noProof/>
            <w:sz w:val="22"/>
            <w:szCs w:val="22"/>
            <w:lang w:eastAsia="en-GB" w:bidi="ar-SA"/>
          </w:rPr>
          <w:tab/>
        </w:r>
        <w:r w:rsidR="006339BD" w:rsidRPr="00514AD1">
          <w:rPr>
            <w:rStyle w:val="Hyperlink"/>
            <w:noProof/>
          </w:rPr>
          <w:t>Decision</w:t>
        </w:r>
        <w:r w:rsidR="006339BD">
          <w:rPr>
            <w:noProof/>
            <w:webHidden/>
          </w:rPr>
          <w:tab/>
        </w:r>
        <w:r w:rsidR="006339BD">
          <w:rPr>
            <w:noProof/>
            <w:webHidden/>
          </w:rPr>
          <w:fldChar w:fldCharType="begin"/>
        </w:r>
        <w:r w:rsidR="006339BD">
          <w:rPr>
            <w:noProof/>
            <w:webHidden/>
          </w:rPr>
          <w:instrText xml:space="preserve"> PAGEREF _Toc103197698 \h </w:instrText>
        </w:r>
        <w:r w:rsidR="006339BD">
          <w:rPr>
            <w:noProof/>
            <w:webHidden/>
          </w:rPr>
        </w:r>
        <w:r w:rsidR="006339BD">
          <w:rPr>
            <w:noProof/>
            <w:webHidden/>
          </w:rPr>
          <w:fldChar w:fldCharType="separate"/>
        </w:r>
        <w:r w:rsidR="00C227B2">
          <w:rPr>
            <w:noProof/>
            <w:webHidden/>
          </w:rPr>
          <w:t>7</w:t>
        </w:r>
        <w:r w:rsidR="006339BD">
          <w:rPr>
            <w:noProof/>
            <w:webHidden/>
          </w:rPr>
          <w:fldChar w:fldCharType="end"/>
        </w:r>
      </w:hyperlink>
    </w:p>
    <w:p w14:paraId="059C942E" w14:textId="0071EEFD" w:rsidR="006339BD" w:rsidRDefault="001D3755">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3197699" w:history="1">
        <w:r w:rsidR="006339BD" w:rsidRPr="00514AD1">
          <w:rPr>
            <w:rStyle w:val="Hyperlink"/>
            <w:noProof/>
          </w:rPr>
          <w:t>2</w:t>
        </w:r>
        <w:r w:rsidR="006339BD">
          <w:rPr>
            <w:rFonts w:eastAsiaTheme="minorEastAsia" w:cstheme="minorBidi"/>
            <w:b w:val="0"/>
            <w:bCs w:val="0"/>
            <w:caps w:val="0"/>
            <w:noProof/>
            <w:sz w:val="22"/>
            <w:szCs w:val="22"/>
            <w:lang w:eastAsia="en-GB" w:bidi="ar-SA"/>
          </w:rPr>
          <w:tab/>
        </w:r>
        <w:r w:rsidR="006339BD" w:rsidRPr="00514AD1">
          <w:rPr>
            <w:rStyle w:val="Hyperlink"/>
            <w:noProof/>
          </w:rPr>
          <w:t xml:space="preserve">Summary </w:t>
        </w:r>
        <w:r w:rsidR="006339BD" w:rsidRPr="00514AD1">
          <w:rPr>
            <w:rStyle w:val="Hyperlink"/>
            <w:noProof/>
            <w:u w:color="FFFF00"/>
          </w:rPr>
          <w:t>of</w:t>
        </w:r>
        <w:r w:rsidR="006339BD" w:rsidRPr="00514AD1">
          <w:rPr>
            <w:rStyle w:val="Hyperlink"/>
            <w:noProof/>
          </w:rPr>
          <w:t xml:space="preserve"> the findings</w:t>
        </w:r>
        <w:r w:rsidR="006339BD">
          <w:rPr>
            <w:noProof/>
            <w:webHidden/>
          </w:rPr>
          <w:tab/>
        </w:r>
        <w:r w:rsidR="006339BD">
          <w:rPr>
            <w:noProof/>
            <w:webHidden/>
          </w:rPr>
          <w:fldChar w:fldCharType="begin"/>
        </w:r>
        <w:r w:rsidR="006339BD">
          <w:rPr>
            <w:noProof/>
            <w:webHidden/>
          </w:rPr>
          <w:instrText xml:space="preserve"> PAGEREF _Toc103197699 \h </w:instrText>
        </w:r>
        <w:r w:rsidR="006339BD">
          <w:rPr>
            <w:noProof/>
            <w:webHidden/>
          </w:rPr>
        </w:r>
        <w:r w:rsidR="006339BD">
          <w:rPr>
            <w:noProof/>
            <w:webHidden/>
          </w:rPr>
          <w:fldChar w:fldCharType="separate"/>
        </w:r>
        <w:r w:rsidR="00C227B2">
          <w:rPr>
            <w:noProof/>
            <w:webHidden/>
          </w:rPr>
          <w:t>7</w:t>
        </w:r>
        <w:r w:rsidR="006339BD">
          <w:rPr>
            <w:noProof/>
            <w:webHidden/>
          </w:rPr>
          <w:fldChar w:fldCharType="end"/>
        </w:r>
      </w:hyperlink>
    </w:p>
    <w:p w14:paraId="62ED4B1A" w14:textId="07F3AEC5" w:rsidR="006339BD" w:rsidRDefault="001D3755">
      <w:pPr>
        <w:pStyle w:val="TOC2"/>
        <w:tabs>
          <w:tab w:val="left" w:pos="880"/>
          <w:tab w:val="right" w:leader="dot" w:pos="9060"/>
        </w:tabs>
        <w:rPr>
          <w:rFonts w:eastAsiaTheme="minorEastAsia" w:cstheme="minorBidi"/>
          <w:smallCaps w:val="0"/>
          <w:noProof/>
          <w:sz w:val="22"/>
          <w:szCs w:val="22"/>
          <w:lang w:eastAsia="en-GB" w:bidi="ar-SA"/>
        </w:rPr>
      </w:pPr>
      <w:hyperlink w:anchor="_Toc103197700" w:history="1">
        <w:r w:rsidR="006339BD" w:rsidRPr="00514AD1">
          <w:rPr>
            <w:rStyle w:val="Hyperlink"/>
            <w:noProof/>
          </w:rPr>
          <w:t xml:space="preserve">2.1 </w:t>
        </w:r>
        <w:r w:rsidR="006339BD">
          <w:rPr>
            <w:rFonts w:eastAsiaTheme="minorEastAsia" w:cstheme="minorBidi"/>
            <w:smallCaps w:val="0"/>
            <w:noProof/>
            <w:sz w:val="22"/>
            <w:szCs w:val="22"/>
            <w:lang w:eastAsia="en-GB" w:bidi="ar-SA"/>
          </w:rPr>
          <w:tab/>
        </w:r>
        <w:r w:rsidR="006339BD" w:rsidRPr="00514AD1">
          <w:rPr>
            <w:rStyle w:val="Hyperlink"/>
            <w:noProof/>
          </w:rPr>
          <w:t>Summary of the 2014 submissions</w:t>
        </w:r>
        <w:r w:rsidR="006339BD">
          <w:rPr>
            <w:noProof/>
            <w:webHidden/>
          </w:rPr>
          <w:tab/>
        </w:r>
        <w:r w:rsidR="006339BD">
          <w:rPr>
            <w:noProof/>
            <w:webHidden/>
          </w:rPr>
          <w:fldChar w:fldCharType="begin"/>
        </w:r>
        <w:r w:rsidR="006339BD">
          <w:rPr>
            <w:noProof/>
            <w:webHidden/>
          </w:rPr>
          <w:instrText xml:space="preserve"> PAGEREF _Toc103197700 \h </w:instrText>
        </w:r>
        <w:r w:rsidR="006339BD">
          <w:rPr>
            <w:noProof/>
            <w:webHidden/>
          </w:rPr>
        </w:r>
        <w:r w:rsidR="006339BD">
          <w:rPr>
            <w:noProof/>
            <w:webHidden/>
          </w:rPr>
          <w:fldChar w:fldCharType="separate"/>
        </w:r>
        <w:r w:rsidR="00C227B2">
          <w:rPr>
            <w:noProof/>
            <w:webHidden/>
          </w:rPr>
          <w:t>7</w:t>
        </w:r>
        <w:r w:rsidR="006339BD">
          <w:rPr>
            <w:noProof/>
            <w:webHidden/>
          </w:rPr>
          <w:fldChar w:fldCharType="end"/>
        </w:r>
      </w:hyperlink>
    </w:p>
    <w:p w14:paraId="44670C98" w14:textId="37EAE07B" w:rsidR="006339BD" w:rsidRDefault="001D3755">
      <w:pPr>
        <w:pStyle w:val="TOC2"/>
        <w:tabs>
          <w:tab w:val="left" w:pos="880"/>
          <w:tab w:val="right" w:leader="dot" w:pos="9060"/>
        </w:tabs>
        <w:rPr>
          <w:rFonts w:eastAsiaTheme="minorEastAsia" w:cstheme="minorBidi"/>
          <w:smallCaps w:val="0"/>
          <w:noProof/>
          <w:sz w:val="22"/>
          <w:szCs w:val="22"/>
          <w:lang w:eastAsia="en-GB" w:bidi="ar-SA"/>
        </w:rPr>
      </w:pPr>
      <w:hyperlink w:anchor="_Toc103197701" w:history="1">
        <w:r w:rsidR="006339BD" w:rsidRPr="00514AD1">
          <w:rPr>
            <w:rStyle w:val="Hyperlink"/>
            <w:noProof/>
          </w:rPr>
          <w:t>2.2</w:t>
        </w:r>
        <w:r w:rsidR="006339BD">
          <w:rPr>
            <w:rFonts w:eastAsiaTheme="minorEastAsia" w:cstheme="minorBidi"/>
            <w:smallCaps w:val="0"/>
            <w:noProof/>
            <w:sz w:val="22"/>
            <w:szCs w:val="22"/>
            <w:lang w:eastAsia="en-GB" w:bidi="ar-SA"/>
          </w:rPr>
          <w:tab/>
        </w:r>
        <w:r w:rsidR="006339BD" w:rsidRPr="00514AD1">
          <w:rPr>
            <w:rStyle w:val="Hyperlink"/>
            <w:noProof/>
          </w:rPr>
          <w:t>Summary of the 2021 submissions</w:t>
        </w:r>
        <w:r w:rsidR="006339BD">
          <w:rPr>
            <w:noProof/>
            <w:webHidden/>
          </w:rPr>
          <w:tab/>
        </w:r>
        <w:r w:rsidR="006339BD">
          <w:rPr>
            <w:noProof/>
            <w:webHidden/>
          </w:rPr>
          <w:fldChar w:fldCharType="begin"/>
        </w:r>
        <w:r w:rsidR="006339BD">
          <w:rPr>
            <w:noProof/>
            <w:webHidden/>
          </w:rPr>
          <w:instrText xml:space="preserve"> PAGEREF _Toc103197701 \h </w:instrText>
        </w:r>
        <w:r w:rsidR="006339BD">
          <w:rPr>
            <w:noProof/>
            <w:webHidden/>
          </w:rPr>
        </w:r>
        <w:r w:rsidR="006339BD">
          <w:rPr>
            <w:noProof/>
            <w:webHidden/>
          </w:rPr>
          <w:fldChar w:fldCharType="separate"/>
        </w:r>
        <w:r w:rsidR="00C227B2">
          <w:rPr>
            <w:noProof/>
            <w:webHidden/>
          </w:rPr>
          <w:t>8</w:t>
        </w:r>
        <w:r w:rsidR="006339BD">
          <w:rPr>
            <w:noProof/>
            <w:webHidden/>
          </w:rPr>
          <w:fldChar w:fldCharType="end"/>
        </w:r>
      </w:hyperlink>
    </w:p>
    <w:p w14:paraId="405B0F7E" w14:textId="07726FD7" w:rsidR="006339BD" w:rsidRDefault="001D3755">
      <w:pPr>
        <w:pStyle w:val="TOC2"/>
        <w:tabs>
          <w:tab w:val="left" w:pos="880"/>
          <w:tab w:val="right" w:leader="dot" w:pos="9060"/>
        </w:tabs>
        <w:rPr>
          <w:rFonts w:eastAsiaTheme="minorEastAsia" w:cstheme="minorBidi"/>
          <w:smallCaps w:val="0"/>
          <w:noProof/>
          <w:sz w:val="22"/>
          <w:szCs w:val="22"/>
          <w:lang w:eastAsia="en-GB" w:bidi="ar-SA"/>
        </w:rPr>
      </w:pPr>
      <w:hyperlink w:anchor="_Toc103197702" w:history="1">
        <w:r w:rsidR="006339BD" w:rsidRPr="00514AD1">
          <w:rPr>
            <w:rStyle w:val="Hyperlink"/>
            <w:noProof/>
          </w:rPr>
          <w:t>2.3</w:t>
        </w:r>
        <w:r w:rsidR="006339BD">
          <w:rPr>
            <w:rFonts w:eastAsiaTheme="minorEastAsia" w:cstheme="minorBidi"/>
            <w:smallCaps w:val="0"/>
            <w:noProof/>
            <w:sz w:val="22"/>
            <w:szCs w:val="22"/>
            <w:lang w:eastAsia="en-GB" w:bidi="ar-SA"/>
          </w:rPr>
          <w:tab/>
        </w:r>
        <w:r w:rsidR="006339BD" w:rsidRPr="00514AD1">
          <w:rPr>
            <w:rStyle w:val="Hyperlink"/>
            <w:noProof/>
          </w:rPr>
          <w:t>Risk assessment</w:t>
        </w:r>
        <w:r w:rsidR="006339BD">
          <w:rPr>
            <w:noProof/>
            <w:webHidden/>
          </w:rPr>
          <w:tab/>
        </w:r>
        <w:r w:rsidR="006339BD">
          <w:rPr>
            <w:noProof/>
            <w:webHidden/>
          </w:rPr>
          <w:fldChar w:fldCharType="begin"/>
        </w:r>
        <w:r w:rsidR="006339BD">
          <w:rPr>
            <w:noProof/>
            <w:webHidden/>
          </w:rPr>
          <w:instrText xml:space="preserve"> PAGEREF _Toc103197702 \h </w:instrText>
        </w:r>
        <w:r w:rsidR="006339BD">
          <w:rPr>
            <w:noProof/>
            <w:webHidden/>
          </w:rPr>
        </w:r>
        <w:r w:rsidR="006339BD">
          <w:rPr>
            <w:noProof/>
            <w:webHidden/>
          </w:rPr>
          <w:fldChar w:fldCharType="separate"/>
        </w:r>
        <w:r w:rsidR="00C227B2">
          <w:rPr>
            <w:noProof/>
            <w:webHidden/>
          </w:rPr>
          <w:t>21</w:t>
        </w:r>
        <w:r w:rsidR="006339BD">
          <w:rPr>
            <w:noProof/>
            <w:webHidden/>
          </w:rPr>
          <w:fldChar w:fldCharType="end"/>
        </w:r>
      </w:hyperlink>
    </w:p>
    <w:p w14:paraId="006E1A50" w14:textId="4DBD8DCC" w:rsidR="006339BD" w:rsidRDefault="001D3755">
      <w:pPr>
        <w:pStyle w:val="TOC2"/>
        <w:tabs>
          <w:tab w:val="left" w:pos="880"/>
          <w:tab w:val="right" w:leader="dot" w:pos="9060"/>
        </w:tabs>
        <w:rPr>
          <w:rFonts w:eastAsiaTheme="minorEastAsia" w:cstheme="minorBidi"/>
          <w:smallCaps w:val="0"/>
          <w:noProof/>
          <w:sz w:val="22"/>
          <w:szCs w:val="22"/>
          <w:lang w:eastAsia="en-GB" w:bidi="ar-SA"/>
        </w:rPr>
      </w:pPr>
      <w:hyperlink w:anchor="_Toc103197703" w:history="1">
        <w:r w:rsidR="006339BD" w:rsidRPr="00514AD1">
          <w:rPr>
            <w:rStyle w:val="Hyperlink"/>
            <w:noProof/>
          </w:rPr>
          <w:t>2.4</w:t>
        </w:r>
        <w:r w:rsidR="006339BD">
          <w:rPr>
            <w:rFonts w:eastAsiaTheme="minorEastAsia" w:cstheme="minorBidi"/>
            <w:smallCaps w:val="0"/>
            <w:noProof/>
            <w:sz w:val="22"/>
            <w:szCs w:val="22"/>
            <w:lang w:eastAsia="en-GB" w:bidi="ar-SA"/>
          </w:rPr>
          <w:tab/>
        </w:r>
        <w:r w:rsidR="006339BD" w:rsidRPr="00514AD1">
          <w:rPr>
            <w:rStyle w:val="Hyperlink"/>
            <w:noProof/>
          </w:rPr>
          <w:t>Risk management</w:t>
        </w:r>
        <w:r w:rsidR="006339BD">
          <w:rPr>
            <w:noProof/>
            <w:webHidden/>
          </w:rPr>
          <w:tab/>
        </w:r>
        <w:r w:rsidR="006339BD">
          <w:rPr>
            <w:noProof/>
            <w:webHidden/>
          </w:rPr>
          <w:fldChar w:fldCharType="begin"/>
        </w:r>
        <w:r w:rsidR="006339BD">
          <w:rPr>
            <w:noProof/>
            <w:webHidden/>
          </w:rPr>
          <w:instrText xml:space="preserve"> PAGEREF _Toc103197703 \h </w:instrText>
        </w:r>
        <w:r w:rsidR="006339BD">
          <w:rPr>
            <w:noProof/>
            <w:webHidden/>
          </w:rPr>
        </w:r>
        <w:r w:rsidR="006339BD">
          <w:rPr>
            <w:noProof/>
            <w:webHidden/>
          </w:rPr>
          <w:fldChar w:fldCharType="separate"/>
        </w:r>
        <w:r w:rsidR="00C227B2">
          <w:rPr>
            <w:noProof/>
            <w:webHidden/>
          </w:rPr>
          <w:t>21</w:t>
        </w:r>
        <w:r w:rsidR="006339BD">
          <w:rPr>
            <w:noProof/>
            <w:webHidden/>
          </w:rPr>
          <w:fldChar w:fldCharType="end"/>
        </w:r>
      </w:hyperlink>
    </w:p>
    <w:p w14:paraId="1AF411C2" w14:textId="1A278B8E" w:rsidR="006339BD" w:rsidRDefault="001D3755">
      <w:pPr>
        <w:pStyle w:val="TOC3"/>
        <w:rPr>
          <w:rFonts w:eastAsiaTheme="minorEastAsia" w:cstheme="minorBidi"/>
          <w:i w:val="0"/>
          <w:iCs w:val="0"/>
          <w:noProof/>
          <w:sz w:val="22"/>
          <w:szCs w:val="22"/>
          <w:lang w:eastAsia="en-GB" w:bidi="ar-SA"/>
        </w:rPr>
      </w:pPr>
      <w:hyperlink w:anchor="_Toc103197704" w:history="1">
        <w:r w:rsidR="006339BD" w:rsidRPr="00514AD1">
          <w:rPr>
            <w:rStyle w:val="Hyperlink"/>
            <w:noProof/>
          </w:rPr>
          <w:t>2.4.1</w:t>
        </w:r>
        <w:r w:rsidR="006339BD">
          <w:rPr>
            <w:rFonts w:eastAsiaTheme="minorEastAsia" w:cstheme="minorBidi"/>
            <w:i w:val="0"/>
            <w:iCs w:val="0"/>
            <w:noProof/>
            <w:sz w:val="22"/>
            <w:szCs w:val="22"/>
            <w:lang w:eastAsia="en-GB" w:bidi="ar-SA"/>
          </w:rPr>
          <w:tab/>
        </w:r>
        <w:r w:rsidR="006339BD" w:rsidRPr="00514AD1">
          <w:rPr>
            <w:rStyle w:val="Hyperlink"/>
            <w:noProof/>
          </w:rPr>
          <w:t>Code placement</w:t>
        </w:r>
        <w:r w:rsidR="006339BD">
          <w:rPr>
            <w:noProof/>
            <w:webHidden/>
          </w:rPr>
          <w:tab/>
        </w:r>
        <w:r w:rsidR="006339BD">
          <w:rPr>
            <w:noProof/>
            <w:webHidden/>
          </w:rPr>
          <w:fldChar w:fldCharType="begin"/>
        </w:r>
        <w:r w:rsidR="006339BD">
          <w:rPr>
            <w:noProof/>
            <w:webHidden/>
          </w:rPr>
          <w:instrText xml:space="preserve"> PAGEREF _Toc103197704 \h </w:instrText>
        </w:r>
        <w:r w:rsidR="006339BD">
          <w:rPr>
            <w:noProof/>
            <w:webHidden/>
          </w:rPr>
        </w:r>
        <w:r w:rsidR="006339BD">
          <w:rPr>
            <w:noProof/>
            <w:webHidden/>
          </w:rPr>
          <w:fldChar w:fldCharType="separate"/>
        </w:r>
        <w:r w:rsidR="00C227B2">
          <w:rPr>
            <w:noProof/>
            <w:webHidden/>
          </w:rPr>
          <w:t>21</w:t>
        </w:r>
        <w:r w:rsidR="006339BD">
          <w:rPr>
            <w:noProof/>
            <w:webHidden/>
          </w:rPr>
          <w:fldChar w:fldCharType="end"/>
        </w:r>
      </w:hyperlink>
    </w:p>
    <w:p w14:paraId="2059F6C7" w14:textId="7342F33D" w:rsidR="006339BD" w:rsidRDefault="001D3755">
      <w:pPr>
        <w:pStyle w:val="TOC3"/>
        <w:rPr>
          <w:rFonts w:eastAsiaTheme="minorEastAsia" w:cstheme="minorBidi"/>
          <w:i w:val="0"/>
          <w:iCs w:val="0"/>
          <w:noProof/>
          <w:sz w:val="22"/>
          <w:szCs w:val="22"/>
          <w:lang w:eastAsia="en-GB" w:bidi="ar-SA"/>
        </w:rPr>
      </w:pPr>
      <w:hyperlink w:anchor="_Toc103197705" w:history="1">
        <w:r w:rsidR="006339BD" w:rsidRPr="00514AD1">
          <w:rPr>
            <w:rStyle w:val="Hyperlink"/>
            <w:noProof/>
          </w:rPr>
          <w:t>2.4.2</w:t>
        </w:r>
        <w:r w:rsidR="006339BD">
          <w:rPr>
            <w:rFonts w:eastAsiaTheme="minorEastAsia" w:cstheme="minorBidi"/>
            <w:i w:val="0"/>
            <w:iCs w:val="0"/>
            <w:noProof/>
            <w:sz w:val="22"/>
            <w:szCs w:val="22"/>
            <w:lang w:eastAsia="en-GB" w:bidi="ar-SA"/>
          </w:rPr>
          <w:tab/>
        </w:r>
        <w:r w:rsidR="006339BD" w:rsidRPr="00514AD1">
          <w:rPr>
            <w:rStyle w:val="Hyperlink"/>
            <w:noProof/>
          </w:rPr>
          <w:t>Definition</w:t>
        </w:r>
        <w:r w:rsidR="006339BD">
          <w:rPr>
            <w:noProof/>
            <w:webHidden/>
          </w:rPr>
          <w:tab/>
        </w:r>
        <w:r w:rsidR="006339BD">
          <w:rPr>
            <w:noProof/>
            <w:webHidden/>
          </w:rPr>
          <w:fldChar w:fldCharType="begin"/>
        </w:r>
        <w:r w:rsidR="006339BD">
          <w:rPr>
            <w:noProof/>
            <w:webHidden/>
          </w:rPr>
          <w:instrText xml:space="preserve"> PAGEREF _Toc103197705 \h </w:instrText>
        </w:r>
        <w:r w:rsidR="006339BD">
          <w:rPr>
            <w:noProof/>
            <w:webHidden/>
          </w:rPr>
        </w:r>
        <w:r w:rsidR="006339BD">
          <w:rPr>
            <w:noProof/>
            <w:webHidden/>
          </w:rPr>
          <w:fldChar w:fldCharType="separate"/>
        </w:r>
        <w:r w:rsidR="00C227B2">
          <w:rPr>
            <w:noProof/>
            <w:webHidden/>
          </w:rPr>
          <w:t>22</w:t>
        </w:r>
        <w:r w:rsidR="006339BD">
          <w:rPr>
            <w:noProof/>
            <w:webHidden/>
          </w:rPr>
          <w:fldChar w:fldCharType="end"/>
        </w:r>
      </w:hyperlink>
    </w:p>
    <w:p w14:paraId="365CF138" w14:textId="72ACC09A" w:rsidR="006339BD" w:rsidRDefault="001D3755">
      <w:pPr>
        <w:pStyle w:val="TOC3"/>
        <w:rPr>
          <w:rFonts w:eastAsiaTheme="minorEastAsia" w:cstheme="minorBidi"/>
          <w:i w:val="0"/>
          <w:iCs w:val="0"/>
          <w:noProof/>
          <w:sz w:val="22"/>
          <w:szCs w:val="22"/>
          <w:lang w:eastAsia="en-GB" w:bidi="ar-SA"/>
        </w:rPr>
      </w:pPr>
      <w:hyperlink w:anchor="_Toc103197706" w:history="1">
        <w:r w:rsidR="006339BD" w:rsidRPr="00514AD1">
          <w:rPr>
            <w:rStyle w:val="Hyperlink"/>
            <w:noProof/>
          </w:rPr>
          <w:t>2.4.3</w:t>
        </w:r>
        <w:r w:rsidR="006339BD">
          <w:rPr>
            <w:rFonts w:eastAsiaTheme="minorEastAsia" w:cstheme="minorBidi"/>
            <w:i w:val="0"/>
            <w:iCs w:val="0"/>
            <w:noProof/>
            <w:sz w:val="22"/>
            <w:szCs w:val="22"/>
            <w:lang w:eastAsia="en-GB" w:bidi="ar-SA"/>
          </w:rPr>
          <w:tab/>
        </w:r>
        <w:r w:rsidR="006339BD" w:rsidRPr="00514AD1">
          <w:rPr>
            <w:rStyle w:val="Hyperlink"/>
            <w:noProof/>
          </w:rPr>
          <w:t>Composition</w:t>
        </w:r>
        <w:r w:rsidR="006339BD">
          <w:rPr>
            <w:noProof/>
            <w:webHidden/>
          </w:rPr>
          <w:tab/>
        </w:r>
        <w:r w:rsidR="006339BD">
          <w:rPr>
            <w:noProof/>
            <w:webHidden/>
          </w:rPr>
          <w:fldChar w:fldCharType="begin"/>
        </w:r>
        <w:r w:rsidR="006339BD">
          <w:rPr>
            <w:noProof/>
            <w:webHidden/>
          </w:rPr>
          <w:instrText xml:space="preserve"> PAGEREF _Toc103197706 \h </w:instrText>
        </w:r>
        <w:r w:rsidR="006339BD">
          <w:rPr>
            <w:noProof/>
            <w:webHidden/>
          </w:rPr>
        </w:r>
        <w:r w:rsidR="006339BD">
          <w:rPr>
            <w:noProof/>
            <w:webHidden/>
          </w:rPr>
          <w:fldChar w:fldCharType="separate"/>
        </w:r>
        <w:r w:rsidR="00C227B2">
          <w:rPr>
            <w:noProof/>
            <w:webHidden/>
          </w:rPr>
          <w:t>25</w:t>
        </w:r>
        <w:r w:rsidR="006339BD">
          <w:rPr>
            <w:noProof/>
            <w:webHidden/>
          </w:rPr>
          <w:fldChar w:fldCharType="end"/>
        </w:r>
      </w:hyperlink>
    </w:p>
    <w:p w14:paraId="269EC707" w14:textId="2471B42C" w:rsidR="006339BD" w:rsidRDefault="001D3755">
      <w:pPr>
        <w:pStyle w:val="TOC3"/>
        <w:rPr>
          <w:rFonts w:eastAsiaTheme="minorEastAsia" w:cstheme="minorBidi"/>
          <w:i w:val="0"/>
          <w:iCs w:val="0"/>
          <w:noProof/>
          <w:sz w:val="22"/>
          <w:szCs w:val="22"/>
          <w:lang w:eastAsia="en-GB" w:bidi="ar-SA"/>
        </w:rPr>
      </w:pPr>
      <w:hyperlink w:anchor="_Toc103197707" w:history="1">
        <w:r w:rsidR="006339BD" w:rsidRPr="00514AD1">
          <w:rPr>
            <w:rStyle w:val="Hyperlink"/>
            <w:noProof/>
          </w:rPr>
          <w:t>2.4.4</w:t>
        </w:r>
        <w:r w:rsidR="006339BD">
          <w:rPr>
            <w:rFonts w:eastAsiaTheme="minorEastAsia" w:cstheme="minorBidi"/>
            <w:i w:val="0"/>
            <w:iCs w:val="0"/>
            <w:noProof/>
            <w:sz w:val="22"/>
            <w:szCs w:val="22"/>
            <w:lang w:eastAsia="en-GB" w:bidi="ar-SA"/>
          </w:rPr>
          <w:tab/>
        </w:r>
        <w:r w:rsidR="006339BD" w:rsidRPr="00514AD1">
          <w:rPr>
            <w:rStyle w:val="Hyperlink"/>
            <w:noProof/>
          </w:rPr>
          <w:t>Osmolality</w:t>
        </w:r>
        <w:r w:rsidR="006339BD">
          <w:rPr>
            <w:noProof/>
            <w:webHidden/>
          </w:rPr>
          <w:tab/>
        </w:r>
        <w:r w:rsidR="006339BD">
          <w:rPr>
            <w:noProof/>
            <w:webHidden/>
          </w:rPr>
          <w:fldChar w:fldCharType="begin"/>
        </w:r>
        <w:r w:rsidR="006339BD">
          <w:rPr>
            <w:noProof/>
            <w:webHidden/>
          </w:rPr>
          <w:instrText xml:space="preserve"> PAGEREF _Toc103197707 \h </w:instrText>
        </w:r>
        <w:r w:rsidR="006339BD">
          <w:rPr>
            <w:noProof/>
            <w:webHidden/>
          </w:rPr>
        </w:r>
        <w:r w:rsidR="006339BD">
          <w:rPr>
            <w:noProof/>
            <w:webHidden/>
          </w:rPr>
          <w:fldChar w:fldCharType="separate"/>
        </w:r>
        <w:r w:rsidR="00C227B2">
          <w:rPr>
            <w:noProof/>
            <w:webHidden/>
          </w:rPr>
          <w:t>27</w:t>
        </w:r>
        <w:r w:rsidR="006339BD">
          <w:rPr>
            <w:noProof/>
            <w:webHidden/>
          </w:rPr>
          <w:fldChar w:fldCharType="end"/>
        </w:r>
      </w:hyperlink>
    </w:p>
    <w:p w14:paraId="344612E3" w14:textId="2DDC8075" w:rsidR="006339BD" w:rsidRDefault="001D3755">
      <w:pPr>
        <w:pStyle w:val="TOC3"/>
        <w:rPr>
          <w:rFonts w:eastAsiaTheme="minorEastAsia" w:cstheme="minorBidi"/>
          <w:i w:val="0"/>
          <w:iCs w:val="0"/>
          <w:noProof/>
          <w:sz w:val="22"/>
          <w:szCs w:val="22"/>
          <w:lang w:eastAsia="en-GB" w:bidi="ar-SA"/>
        </w:rPr>
      </w:pPr>
      <w:hyperlink w:anchor="_Toc103197708" w:history="1">
        <w:r w:rsidR="006339BD" w:rsidRPr="00514AD1">
          <w:rPr>
            <w:rStyle w:val="Hyperlink"/>
            <w:noProof/>
          </w:rPr>
          <w:t>2.4.5</w:t>
        </w:r>
        <w:r w:rsidR="006339BD">
          <w:rPr>
            <w:rFonts w:eastAsiaTheme="minorEastAsia" w:cstheme="minorBidi"/>
            <w:i w:val="0"/>
            <w:iCs w:val="0"/>
            <w:noProof/>
            <w:sz w:val="22"/>
            <w:szCs w:val="22"/>
            <w:lang w:eastAsia="en-GB" w:bidi="ar-SA"/>
          </w:rPr>
          <w:tab/>
        </w:r>
        <w:r w:rsidR="006339BD" w:rsidRPr="00514AD1">
          <w:rPr>
            <w:rStyle w:val="Hyperlink"/>
            <w:noProof/>
          </w:rPr>
          <w:t>Labelling</w:t>
        </w:r>
        <w:r w:rsidR="006339BD">
          <w:rPr>
            <w:noProof/>
            <w:webHidden/>
          </w:rPr>
          <w:tab/>
        </w:r>
        <w:r w:rsidR="006339BD">
          <w:rPr>
            <w:noProof/>
            <w:webHidden/>
          </w:rPr>
          <w:fldChar w:fldCharType="begin"/>
        </w:r>
        <w:r w:rsidR="006339BD">
          <w:rPr>
            <w:noProof/>
            <w:webHidden/>
          </w:rPr>
          <w:instrText xml:space="preserve"> PAGEREF _Toc103197708 \h </w:instrText>
        </w:r>
        <w:r w:rsidR="006339BD">
          <w:rPr>
            <w:noProof/>
            <w:webHidden/>
          </w:rPr>
        </w:r>
        <w:r w:rsidR="006339BD">
          <w:rPr>
            <w:noProof/>
            <w:webHidden/>
          </w:rPr>
          <w:fldChar w:fldCharType="separate"/>
        </w:r>
        <w:r w:rsidR="00C227B2">
          <w:rPr>
            <w:noProof/>
            <w:webHidden/>
          </w:rPr>
          <w:t>27</w:t>
        </w:r>
        <w:r w:rsidR="006339BD">
          <w:rPr>
            <w:noProof/>
            <w:webHidden/>
          </w:rPr>
          <w:fldChar w:fldCharType="end"/>
        </w:r>
      </w:hyperlink>
    </w:p>
    <w:p w14:paraId="7F4F62E8" w14:textId="41C398FF" w:rsidR="006339BD" w:rsidRDefault="001D3755">
      <w:pPr>
        <w:pStyle w:val="TOC3"/>
        <w:rPr>
          <w:rFonts w:eastAsiaTheme="minorEastAsia" w:cstheme="minorBidi"/>
          <w:i w:val="0"/>
          <w:iCs w:val="0"/>
          <w:noProof/>
          <w:sz w:val="22"/>
          <w:szCs w:val="22"/>
          <w:lang w:eastAsia="en-GB" w:bidi="ar-SA"/>
        </w:rPr>
      </w:pPr>
      <w:hyperlink w:anchor="_Toc103197709" w:history="1">
        <w:r w:rsidR="006339BD" w:rsidRPr="00514AD1">
          <w:rPr>
            <w:rStyle w:val="Hyperlink"/>
            <w:noProof/>
          </w:rPr>
          <w:t>2.4.6</w:t>
        </w:r>
        <w:r w:rsidR="006339BD">
          <w:rPr>
            <w:rFonts w:eastAsiaTheme="minorEastAsia" w:cstheme="minorBidi"/>
            <w:i w:val="0"/>
            <w:iCs w:val="0"/>
            <w:noProof/>
            <w:sz w:val="22"/>
            <w:szCs w:val="22"/>
            <w:lang w:eastAsia="en-GB" w:bidi="ar-SA"/>
          </w:rPr>
          <w:tab/>
        </w:r>
        <w:r w:rsidR="006339BD" w:rsidRPr="00514AD1">
          <w:rPr>
            <w:rStyle w:val="Hyperlink"/>
            <w:noProof/>
          </w:rPr>
          <w:t>Existing definitions in the Code</w:t>
        </w:r>
        <w:r w:rsidR="006339BD">
          <w:rPr>
            <w:noProof/>
            <w:webHidden/>
          </w:rPr>
          <w:tab/>
        </w:r>
        <w:r w:rsidR="006339BD">
          <w:rPr>
            <w:noProof/>
            <w:webHidden/>
          </w:rPr>
          <w:fldChar w:fldCharType="begin"/>
        </w:r>
        <w:r w:rsidR="006339BD">
          <w:rPr>
            <w:noProof/>
            <w:webHidden/>
          </w:rPr>
          <w:instrText xml:space="preserve"> PAGEREF _Toc103197709 \h </w:instrText>
        </w:r>
        <w:r w:rsidR="006339BD">
          <w:rPr>
            <w:noProof/>
            <w:webHidden/>
          </w:rPr>
        </w:r>
        <w:r w:rsidR="006339BD">
          <w:rPr>
            <w:noProof/>
            <w:webHidden/>
          </w:rPr>
          <w:fldChar w:fldCharType="separate"/>
        </w:r>
        <w:r w:rsidR="00C227B2">
          <w:rPr>
            <w:noProof/>
            <w:webHidden/>
          </w:rPr>
          <w:t>32</w:t>
        </w:r>
        <w:r w:rsidR="006339BD">
          <w:rPr>
            <w:noProof/>
            <w:webHidden/>
          </w:rPr>
          <w:fldChar w:fldCharType="end"/>
        </w:r>
      </w:hyperlink>
    </w:p>
    <w:p w14:paraId="23925352" w14:textId="04FE292A" w:rsidR="006339BD" w:rsidRDefault="001D3755">
      <w:pPr>
        <w:pStyle w:val="TOC3"/>
        <w:rPr>
          <w:rFonts w:eastAsiaTheme="minorEastAsia" w:cstheme="minorBidi"/>
          <w:i w:val="0"/>
          <w:iCs w:val="0"/>
          <w:noProof/>
          <w:sz w:val="22"/>
          <w:szCs w:val="22"/>
          <w:lang w:eastAsia="en-GB" w:bidi="ar-SA"/>
        </w:rPr>
      </w:pPr>
      <w:hyperlink w:anchor="_Toc103197710" w:history="1">
        <w:r w:rsidR="006339BD" w:rsidRPr="00514AD1">
          <w:rPr>
            <w:rStyle w:val="Hyperlink"/>
            <w:noProof/>
          </w:rPr>
          <w:t>2.4.7</w:t>
        </w:r>
        <w:r w:rsidR="006339BD">
          <w:rPr>
            <w:rFonts w:eastAsiaTheme="minorEastAsia" w:cstheme="minorBidi"/>
            <w:i w:val="0"/>
            <w:iCs w:val="0"/>
            <w:noProof/>
            <w:sz w:val="22"/>
            <w:szCs w:val="22"/>
            <w:lang w:eastAsia="en-GB" w:bidi="ar-SA"/>
          </w:rPr>
          <w:tab/>
        </w:r>
        <w:r w:rsidR="006339BD" w:rsidRPr="00514AD1">
          <w:rPr>
            <w:rStyle w:val="Hyperlink"/>
            <w:noProof/>
          </w:rPr>
          <w:t>Risk management conclusion</w:t>
        </w:r>
        <w:r w:rsidR="006339BD">
          <w:rPr>
            <w:noProof/>
            <w:webHidden/>
          </w:rPr>
          <w:tab/>
        </w:r>
        <w:r w:rsidR="006339BD">
          <w:rPr>
            <w:noProof/>
            <w:webHidden/>
          </w:rPr>
          <w:fldChar w:fldCharType="begin"/>
        </w:r>
        <w:r w:rsidR="006339BD">
          <w:rPr>
            <w:noProof/>
            <w:webHidden/>
          </w:rPr>
          <w:instrText xml:space="preserve"> PAGEREF _Toc103197710 \h </w:instrText>
        </w:r>
        <w:r w:rsidR="006339BD">
          <w:rPr>
            <w:noProof/>
            <w:webHidden/>
          </w:rPr>
        </w:r>
        <w:r w:rsidR="006339BD">
          <w:rPr>
            <w:noProof/>
            <w:webHidden/>
          </w:rPr>
          <w:fldChar w:fldCharType="separate"/>
        </w:r>
        <w:r w:rsidR="00C227B2">
          <w:rPr>
            <w:noProof/>
            <w:webHidden/>
          </w:rPr>
          <w:t>33</w:t>
        </w:r>
        <w:r w:rsidR="006339BD">
          <w:rPr>
            <w:noProof/>
            <w:webHidden/>
          </w:rPr>
          <w:fldChar w:fldCharType="end"/>
        </w:r>
      </w:hyperlink>
    </w:p>
    <w:p w14:paraId="3F934023" w14:textId="6BAD1CE9" w:rsidR="006339BD" w:rsidRDefault="001D3755">
      <w:pPr>
        <w:pStyle w:val="TOC2"/>
        <w:tabs>
          <w:tab w:val="left" w:pos="880"/>
          <w:tab w:val="right" w:leader="dot" w:pos="9060"/>
        </w:tabs>
        <w:rPr>
          <w:rFonts w:eastAsiaTheme="minorEastAsia" w:cstheme="minorBidi"/>
          <w:smallCaps w:val="0"/>
          <w:noProof/>
          <w:sz w:val="22"/>
          <w:szCs w:val="22"/>
          <w:lang w:eastAsia="en-GB" w:bidi="ar-SA"/>
        </w:rPr>
      </w:pPr>
      <w:hyperlink w:anchor="_Toc103197711" w:history="1">
        <w:r w:rsidR="006339BD" w:rsidRPr="00514AD1">
          <w:rPr>
            <w:rStyle w:val="Hyperlink"/>
            <w:noProof/>
          </w:rPr>
          <w:t>2.5</w:t>
        </w:r>
        <w:r w:rsidR="006339BD">
          <w:rPr>
            <w:rFonts w:eastAsiaTheme="minorEastAsia" w:cstheme="minorBidi"/>
            <w:smallCaps w:val="0"/>
            <w:noProof/>
            <w:sz w:val="22"/>
            <w:szCs w:val="22"/>
            <w:lang w:eastAsia="en-GB" w:bidi="ar-SA"/>
          </w:rPr>
          <w:tab/>
        </w:r>
        <w:r w:rsidR="006339BD" w:rsidRPr="00514AD1">
          <w:rPr>
            <w:rStyle w:val="Hyperlink"/>
            <w:noProof/>
          </w:rPr>
          <w:t>Risk communication</w:t>
        </w:r>
        <w:r w:rsidR="006339BD">
          <w:rPr>
            <w:noProof/>
            <w:webHidden/>
          </w:rPr>
          <w:tab/>
        </w:r>
        <w:r w:rsidR="006339BD">
          <w:rPr>
            <w:noProof/>
            <w:webHidden/>
          </w:rPr>
          <w:fldChar w:fldCharType="begin"/>
        </w:r>
        <w:r w:rsidR="006339BD">
          <w:rPr>
            <w:noProof/>
            <w:webHidden/>
          </w:rPr>
          <w:instrText xml:space="preserve"> PAGEREF _Toc103197711 \h </w:instrText>
        </w:r>
        <w:r w:rsidR="006339BD">
          <w:rPr>
            <w:noProof/>
            <w:webHidden/>
          </w:rPr>
        </w:r>
        <w:r w:rsidR="006339BD">
          <w:rPr>
            <w:noProof/>
            <w:webHidden/>
          </w:rPr>
          <w:fldChar w:fldCharType="separate"/>
        </w:r>
        <w:r w:rsidR="00C227B2">
          <w:rPr>
            <w:noProof/>
            <w:webHidden/>
          </w:rPr>
          <w:t>33</w:t>
        </w:r>
        <w:r w:rsidR="006339BD">
          <w:rPr>
            <w:noProof/>
            <w:webHidden/>
          </w:rPr>
          <w:fldChar w:fldCharType="end"/>
        </w:r>
      </w:hyperlink>
    </w:p>
    <w:p w14:paraId="0F106645" w14:textId="54F3D410" w:rsidR="006339BD" w:rsidRDefault="001D3755">
      <w:pPr>
        <w:pStyle w:val="TOC3"/>
        <w:rPr>
          <w:rFonts w:eastAsiaTheme="minorEastAsia" w:cstheme="minorBidi"/>
          <w:i w:val="0"/>
          <w:iCs w:val="0"/>
          <w:noProof/>
          <w:sz w:val="22"/>
          <w:szCs w:val="22"/>
          <w:lang w:eastAsia="en-GB" w:bidi="ar-SA"/>
        </w:rPr>
      </w:pPr>
      <w:hyperlink w:anchor="_Toc103197712" w:history="1">
        <w:r w:rsidR="006339BD" w:rsidRPr="00514AD1">
          <w:rPr>
            <w:rStyle w:val="Hyperlink"/>
            <w:noProof/>
          </w:rPr>
          <w:t>2.5.1</w:t>
        </w:r>
        <w:r w:rsidR="006339BD">
          <w:rPr>
            <w:rFonts w:eastAsiaTheme="minorEastAsia" w:cstheme="minorBidi"/>
            <w:i w:val="0"/>
            <w:iCs w:val="0"/>
            <w:noProof/>
            <w:sz w:val="22"/>
            <w:szCs w:val="22"/>
            <w:lang w:eastAsia="en-GB" w:bidi="ar-SA"/>
          </w:rPr>
          <w:tab/>
        </w:r>
        <w:r w:rsidR="006339BD" w:rsidRPr="00514AD1">
          <w:rPr>
            <w:rStyle w:val="Hyperlink"/>
            <w:noProof/>
          </w:rPr>
          <w:t>Consultation</w:t>
        </w:r>
        <w:r w:rsidR="006339BD">
          <w:rPr>
            <w:noProof/>
            <w:webHidden/>
          </w:rPr>
          <w:tab/>
        </w:r>
        <w:r w:rsidR="006339BD">
          <w:rPr>
            <w:noProof/>
            <w:webHidden/>
          </w:rPr>
          <w:fldChar w:fldCharType="begin"/>
        </w:r>
        <w:r w:rsidR="006339BD">
          <w:rPr>
            <w:noProof/>
            <w:webHidden/>
          </w:rPr>
          <w:instrText xml:space="preserve"> PAGEREF _Toc103197712 \h </w:instrText>
        </w:r>
        <w:r w:rsidR="006339BD">
          <w:rPr>
            <w:noProof/>
            <w:webHidden/>
          </w:rPr>
        </w:r>
        <w:r w:rsidR="006339BD">
          <w:rPr>
            <w:noProof/>
            <w:webHidden/>
          </w:rPr>
          <w:fldChar w:fldCharType="separate"/>
        </w:r>
        <w:r w:rsidR="00C227B2">
          <w:rPr>
            <w:noProof/>
            <w:webHidden/>
          </w:rPr>
          <w:t>33</w:t>
        </w:r>
        <w:r w:rsidR="006339BD">
          <w:rPr>
            <w:noProof/>
            <w:webHidden/>
          </w:rPr>
          <w:fldChar w:fldCharType="end"/>
        </w:r>
      </w:hyperlink>
    </w:p>
    <w:p w14:paraId="03301998" w14:textId="1483C06A" w:rsidR="006339BD" w:rsidRDefault="001D3755">
      <w:pPr>
        <w:pStyle w:val="TOC3"/>
        <w:rPr>
          <w:rFonts w:eastAsiaTheme="minorEastAsia" w:cstheme="minorBidi"/>
          <w:i w:val="0"/>
          <w:iCs w:val="0"/>
          <w:noProof/>
          <w:sz w:val="22"/>
          <w:szCs w:val="22"/>
          <w:lang w:eastAsia="en-GB" w:bidi="ar-SA"/>
        </w:rPr>
      </w:pPr>
      <w:hyperlink w:anchor="_Toc103197713" w:history="1">
        <w:r w:rsidR="006339BD" w:rsidRPr="00514AD1">
          <w:rPr>
            <w:rStyle w:val="Hyperlink"/>
            <w:noProof/>
          </w:rPr>
          <w:t>2.5.2</w:t>
        </w:r>
        <w:r w:rsidR="006339BD">
          <w:rPr>
            <w:rFonts w:eastAsiaTheme="minorEastAsia" w:cstheme="minorBidi"/>
            <w:i w:val="0"/>
            <w:iCs w:val="0"/>
            <w:noProof/>
            <w:sz w:val="22"/>
            <w:szCs w:val="22"/>
            <w:lang w:eastAsia="en-GB" w:bidi="ar-SA"/>
          </w:rPr>
          <w:tab/>
        </w:r>
        <w:r w:rsidR="006339BD" w:rsidRPr="00514AD1">
          <w:rPr>
            <w:rStyle w:val="Hyperlink"/>
            <w:noProof/>
          </w:rPr>
          <w:t>World Trade Organization (WTO)</w:t>
        </w:r>
        <w:r w:rsidR="006339BD">
          <w:rPr>
            <w:noProof/>
            <w:webHidden/>
          </w:rPr>
          <w:tab/>
        </w:r>
        <w:r w:rsidR="006339BD">
          <w:rPr>
            <w:noProof/>
            <w:webHidden/>
          </w:rPr>
          <w:fldChar w:fldCharType="begin"/>
        </w:r>
        <w:r w:rsidR="006339BD">
          <w:rPr>
            <w:noProof/>
            <w:webHidden/>
          </w:rPr>
          <w:instrText xml:space="preserve"> PAGEREF _Toc103197713 \h </w:instrText>
        </w:r>
        <w:r w:rsidR="006339BD">
          <w:rPr>
            <w:noProof/>
            <w:webHidden/>
          </w:rPr>
        </w:r>
        <w:r w:rsidR="006339BD">
          <w:rPr>
            <w:noProof/>
            <w:webHidden/>
          </w:rPr>
          <w:fldChar w:fldCharType="separate"/>
        </w:r>
        <w:r w:rsidR="00C227B2">
          <w:rPr>
            <w:noProof/>
            <w:webHidden/>
          </w:rPr>
          <w:t>33</w:t>
        </w:r>
        <w:r w:rsidR="006339BD">
          <w:rPr>
            <w:noProof/>
            <w:webHidden/>
          </w:rPr>
          <w:fldChar w:fldCharType="end"/>
        </w:r>
      </w:hyperlink>
    </w:p>
    <w:p w14:paraId="67529C5B" w14:textId="53DBAB19" w:rsidR="006339BD" w:rsidRDefault="001D3755">
      <w:pPr>
        <w:pStyle w:val="TOC2"/>
        <w:tabs>
          <w:tab w:val="left" w:pos="880"/>
          <w:tab w:val="right" w:leader="dot" w:pos="9060"/>
        </w:tabs>
        <w:rPr>
          <w:rFonts w:eastAsiaTheme="minorEastAsia" w:cstheme="minorBidi"/>
          <w:smallCaps w:val="0"/>
          <w:noProof/>
          <w:sz w:val="22"/>
          <w:szCs w:val="22"/>
          <w:lang w:eastAsia="en-GB" w:bidi="ar-SA"/>
        </w:rPr>
      </w:pPr>
      <w:hyperlink w:anchor="_Toc103197714" w:history="1">
        <w:r w:rsidR="006339BD" w:rsidRPr="00514AD1">
          <w:rPr>
            <w:rStyle w:val="Hyperlink"/>
            <w:noProof/>
          </w:rPr>
          <w:t>2.6</w:t>
        </w:r>
        <w:r w:rsidR="006339BD">
          <w:rPr>
            <w:rFonts w:eastAsiaTheme="minorEastAsia" w:cstheme="minorBidi"/>
            <w:smallCaps w:val="0"/>
            <w:noProof/>
            <w:sz w:val="22"/>
            <w:szCs w:val="22"/>
            <w:lang w:eastAsia="en-GB" w:bidi="ar-SA"/>
          </w:rPr>
          <w:tab/>
        </w:r>
        <w:r w:rsidR="006339BD" w:rsidRPr="00514AD1">
          <w:rPr>
            <w:rStyle w:val="Hyperlink"/>
            <w:noProof/>
          </w:rPr>
          <w:t>FSANZ Act assessment requirements</w:t>
        </w:r>
        <w:r w:rsidR="006339BD">
          <w:rPr>
            <w:noProof/>
            <w:webHidden/>
          </w:rPr>
          <w:tab/>
        </w:r>
        <w:r w:rsidR="006339BD">
          <w:rPr>
            <w:noProof/>
            <w:webHidden/>
          </w:rPr>
          <w:fldChar w:fldCharType="begin"/>
        </w:r>
        <w:r w:rsidR="006339BD">
          <w:rPr>
            <w:noProof/>
            <w:webHidden/>
          </w:rPr>
          <w:instrText xml:space="preserve"> PAGEREF _Toc103197714 \h </w:instrText>
        </w:r>
        <w:r w:rsidR="006339BD">
          <w:rPr>
            <w:noProof/>
            <w:webHidden/>
          </w:rPr>
        </w:r>
        <w:r w:rsidR="006339BD">
          <w:rPr>
            <w:noProof/>
            <w:webHidden/>
          </w:rPr>
          <w:fldChar w:fldCharType="separate"/>
        </w:r>
        <w:r w:rsidR="00C227B2">
          <w:rPr>
            <w:noProof/>
            <w:webHidden/>
          </w:rPr>
          <w:t>34</w:t>
        </w:r>
        <w:r w:rsidR="006339BD">
          <w:rPr>
            <w:noProof/>
            <w:webHidden/>
          </w:rPr>
          <w:fldChar w:fldCharType="end"/>
        </w:r>
      </w:hyperlink>
    </w:p>
    <w:p w14:paraId="67453B7B" w14:textId="7F0FBAF5" w:rsidR="006339BD" w:rsidRDefault="001D3755">
      <w:pPr>
        <w:pStyle w:val="TOC3"/>
        <w:rPr>
          <w:rFonts w:eastAsiaTheme="minorEastAsia" w:cstheme="minorBidi"/>
          <w:i w:val="0"/>
          <w:iCs w:val="0"/>
          <w:noProof/>
          <w:sz w:val="22"/>
          <w:szCs w:val="22"/>
          <w:lang w:eastAsia="en-GB" w:bidi="ar-SA"/>
        </w:rPr>
      </w:pPr>
      <w:hyperlink w:anchor="_Toc103197715" w:history="1">
        <w:r w:rsidR="006339BD" w:rsidRPr="00514AD1">
          <w:rPr>
            <w:rStyle w:val="Hyperlink"/>
            <w:noProof/>
          </w:rPr>
          <w:t>2.6.1</w:t>
        </w:r>
        <w:r w:rsidR="006339BD">
          <w:rPr>
            <w:rFonts w:eastAsiaTheme="minorEastAsia" w:cstheme="minorBidi"/>
            <w:i w:val="0"/>
            <w:iCs w:val="0"/>
            <w:noProof/>
            <w:sz w:val="22"/>
            <w:szCs w:val="22"/>
            <w:lang w:eastAsia="en-GB" w:bidi="ar-SA"/>
          </w:rPr>
          <w:tab/>
        </w:r>
        <w:r w:rsidR="006339BD" w:rsidRPr="00514AD1">
          <w:rPr>
            <w:rStyle w:val="Hyperlink"/>
            <w:noProof/>
          </w:rPr>
          <w:t>Section 59</w:t>
        </w:r>
        <w:r w:rsidR="006339BD">
          <w:rPr>
            <w:noProof/>
            <w:webHidden/>
          </w:rPr>
          <w:tab/>
        </w:r>
        <w:r w:rsidR="006339BD">
          <w:rPr>
            <w:noProof/>
            <w:webHidden/>
          </w:rPr>
          <w:fldChar w:fldCharType="begin"/>
        </w:r>
        <w:r w:rsidR="006339BD">
          <w:rPr>
            <w:noProof/>
            <w:webHidden/>
          </w:rPr>
          <w:instrText xml:space="preserve"> PAGEREF _Toc103197715 \h </w:instrText>
        </w:r>
        <w:r w:rsidR="006339BD">
          <w:rPr>
            <w:noProof/>
            <w:webHidden/>
          </w:rPr>
        </w:r>
        <w:r w:rsidR="006339BD">
          <w:rPr>
            <w:noProof/>
            <w:webHidden/>
          </w:rPr>
          <w:fldChar w:fldCharType="separate"/>
        </w:r>
        <w:r w:rsidR="00C227B2">
          <w:rPr>
            <w:noProof/>
            <w:webHidden/>
          </w:rPr>
          <w:t>34</w:t>
        </w:r>
        <w:r w:rsidR="006339BD">
          <w:rPr>
            <w:noProof/>
            <w:webHidden/>
          </w:rPr>
          <w:fldChar w:fldCharType="end"/>
        </w:r>
      </w:hyperlink>
    </w:p>
    <w:p w14:paraId="6607C828" w14:textId="01781956" w:rsidR="006339BD" w:rsidRDefault="001D3755">
      <w:pPr>
        <w:pStyle w:val="TOC3"/>
        <w:rPr>
          <w:rFonts w:eastAsiaTheme="minorEastAsia" w:cstheme="minorBidi"/>
          <w:i w:val="0"/>
          <w:iCs w:val="0"/>
          <w:noProof/>
          <w:sz w:val="22"/>
          <w:szCs w:val="22"/>
          <w:lang w:eastAsia="en-GB" w:bidi="ar-SA"/>
        </w:rPr>
      </w:pPr>
      <w:hyperlink w:anchor="_Toc103197716" w:history="1">
        <w:r w:rsidR="006339BD" w:rsidRPr="00514AD1">
          <w:rPr>
            <w:rStyle w:val="Hyperlink"/>
            <w:noProof/>
          </w:rPr>
          <w:t>2.6.2</w:t>
        </w:r>
        <w:r w:rsidR="006339BD">
          <w:rPr>
            <w:rFonts w:eastAsiaTheme="minorEastAsia" w:cstheme="minorBidi"/>
            <w:i w:val="0"/>
            <w:iCs w:val="0"/>
            <w:noProof/>
            <w:sz w:val="22"/>
            <w:szCs w:val="22"/>
            <w:lang w:eastAsia="en-GB" w:bidi="ar-SA"/>
          </w:rPr>
          <w:tab/>
        </w:r>
        <w:r w:rsidR="006339BD" w:rsidRPr="00514AD1">
          <w:rPr>
            <w:rStyle w:val="Hyperlink"/>
            <w:noProof/>
          </w:rPr>
          <w:t>Subsection 18(1)</w:t>
        </w:r>
        <w:r w:rsidR="006339BD">
          <w:rPr>
            <w:noProof/>
            <w:webHidden/>
          </w:rPr>
          <w:tab/>
        </w:r>
        <w:r w:rsidR="006339BD">
          <w:rPr>
            <w:noProof/>
            <w:webHidden/>
          </w:rPr>
          <w:fldChar w:fldCharType="begin"/>
        </w:r>
        <w:r w:rsidR="006339BD">
          <w:rPr>
            <w:noProof/>
            <w:webHidden/>
          </w:rPr>
          <w:instrText xml:space="preserve"> PAGEREF _Toc103197716 \h </w:instrText>
        </w:r>
        <w:r w:rsidR="006339BD">
          <w:rPr>
            <w:noProof/>
            <w:webHidden/>
          </w:rPr>
        </w:r>
        <w:r w:rsidR="006339BD">
          <w:rPr>
            <w:noProof/>
            <w:webHidden/>
          </w:rPr>
          <w:fldChar w:fldCharType="separate"/>
        </w:r>
        <w:r w:rsidR="00C227B2">
          <w:rPr>
            <w:noProof/>
            <w:webHidden/>
          </w:rPr>
          <w:t>35</w:t>
        </w:r>
        <w:r w:rsidR="006339BD">
          <w:rPr>
            <w:noProof/>
            <w:webHidden/>
          </w:rPr>
          <w:fldChar w:fldCharType="end"/>
        </w:r>
      </w:hyperlink>
    </w:p>
    <w:p w14:paraId="539684A4" w14:textId="35F7805B" w:rsidR="006339BD" w:rsidRDefault="001D3755">
      <w:pPr>
        <w:pStyle w:val="TOC3"/>
        <w:rPr>
          <w:rFonts w:eastAsiaTheme="minorEastAsia" w:cstheme="minorBidi"/>
          <w:i w:val="0"/>
          <w:iCs w:val="0"/>
          <w:noProof/>
          <w:sz w:val="22"/>
          <w:szCs w:val="22"/>
          <w:lang w:eastAsia="en-GB" w:bidi="ar-SA"/>
        </w:rPr>
      </w:pPr>
      <w:hyperlink w:anchor="_Toc103197717" w:history="1">
        <w:r w:rsidR="006339BD" w:rsidRPr="00514AD1">
          <w:rPr>
            <w:rStyle w:val="Hyperlink"/>
            <w:noProof/>
          </w:rPr>
          <w:t>2.6.3</w:t>
        </w:r>
        <w:r w:rsidR="006339BD">
          <w:rPr>
            <w:rFonts w:eastAsiaTheme="minorEastAsia" w:cstheme="minorBidi"/>
            <w:i w:val="0"/>
            <w:iCs w:val="0"/>
            <w:noProof/>
            <w:sz w:val="22"/>
            <w:szCs w:val="22"/>
            <w:lang w:eastAsia="en-GB" w:bidi="ar-SA"/>
          </w:rPr>
          <w:tab/>
        </w:r>
        <w:r w:rsidR="006339BD" w:rsidRPr="00514AD1">
          <w:rPr>
            <w:rStyle w:val="Hyperlink"/>
            <w:noProof/>
          </w:rPr>
          <w:t>Subsection 18(2) considerations</w:t>
        </w:r>
        <w:r w:rsidR="006339BD">
          <w:rPr>
            <w:noProof/>
            <w:webHidden/>
          </w:rPr>
          <w:tab/>
        </w:r>
        <w:r w:rsidR="006339BD">
          <w:rPr>
            <w:noProof/>
            <w:webHidden/>
          </w:rPr>
          <w:fldChar w:fldCharType="begin"/>
        </w:r>
        <w:r w:rsidR="006339BD">
          <w:rPr>
            <w:noProof/>
            <w:webHidden/>
          </w:rPr>
          <w:instrText xml:space="preserve"> PAGEREF _Toc103197717 \h </w:instrText>
        </w:r>
        <w:r w:rsidR="006339BD">
          <w:rPr>
            <w:noProof/>
            <w:webHidden/>
          </w:rPr>
        </w:r>
        <w:r w:rsidR="006339BD">
          <w:rPr>
            <w:noProof/>
            <w:webHidden/>
          </w:rPr>
          <w:fldChar w:fldCharType="separate"/>
        </w:r>
        <w:r w:rsidR="00C227B2">
          <w:rPr>
            <w:noProof/>
            <w:webHidden/>
          </w:rPr>
          <w:t>36</w:t>
        </w:r>
        <w:r w:rsidR="006339BD">
          <w:rPr>
            <w:noProof/>
            <w:webHidden/>
          </w:rPr>
          <w:fldChar w:fldCharType="end"/>
        </w:r>
      </w:hyperlink>
    </w:p>
    <w:p w14:paraId="506B66D0" w14:textId="7C7404EE" w:rsidR="006339BD" w:rsidRDefault="001D3755">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3197718" w:history="1">
        <w:r w:rsidR="006339BD" w:rsidRPr="00514AD1">
          <w:rPr>
            <w:rStyle w:val="Hyperlink"/>
            <w:noProof/>
          </w:rPr>
          <w:t>3</w:t>
        </w:r>
        <w:r w:rsidR="006339BD">
          <w:rPr>
            <w:rFonts w:eastAsiaTheme="minorEastAsia" w:cstheme="minorBidi"/>
            <w:b w:val="0"/>
            <w:bCs w:val="0"/>
            <w:caps w:val="0"/>
            <w:noProof/>
            <w:sz w:val="22"/>
            <w:szCs w:val="22"/>
            <w:lang w:eastAsia="en-GB" w:bidi="ar-SA"/>
          </w:rPr>
          <w:tab/>
        </w:r>
        <w:r w:rsidR="006339BD" w:rsidRPr="00514AD1">
          <w:rPr>
            <w:rStyle w:val="Hyperlink"/>
            <w:noProof/>
          </w:rPr>
          <w:t>Transitional arrangements</w:t>
        </w:r>
        <w:r w:rsidR="006339BD">
          <w:rPr>
            <w:noProof/>
            <w:webHidden/>
          </w:rPr>
          <w:tab/>
        </w:r>
        <w:r w:rsidR="006339BD">
          <w:rPr>
            <w:noProof/>
            <w:webHidden/>
          </w:rPr>
          <w:fldChar w:fldCharType="begin"/>
        </w:r>
        <w:r w:rsidR="006339BD">
          <w:rPr>
            <w:noProof/>
            <w:webHidden/>
          </w:rPr>
          <w:instrText xml:space="preserve"> PAGEREF _Toc103197718 \h </w:instrText>
        </w:r>
        <w:r w:rsidR="006339BD">
          <w:rPr>
            <w:noProof/>
            <w:webHidden/>
          </w:rPr>
        </w:r>
        <w:r w:rsidR="006339BD">
          <w:rPr>
            <w:noProof/>
            <w:webHidden/>
          </w:rPr>
          <w:fldChar w:fldCharType="separate"/>
        </w:r>
        <w:r w:rsidR="00C227B2">
          <w:rPr>
            <w:noProof/>
            <w:webHidden/>
          </w:rPr>
          <w:t>37</w:t>
        </w:r>
        <w:r w:rsidR="006339BD">
          <w:rPr>
            <w:noProof/>
            <w:webHidden/>
          </w:rPr>
          <w:fldChar w:fldCharType="end"/>
        </w:r>
      </w:hyperlink>
    </w:p>
    <w:p w14:paraId="43540E3B" w14:textId="0BF655B8" w:rsidR="006339BD" w:rsidRDefault="001D3755">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3197719" w:history="1">
        <w:r w:rsidR="006339BD" w:rsidRPr="00514AD1">
          <w:rPr>
            <w:rStyle w:val="Hyperlink"/>
            <w:noProof/>
          </w:rPr>
          <w:t>4</w:t>
        </w:r>
        <w:r w:rsidR="006339BD">
          <w:rPr>
            <w:rFonts w:eastAsiaTheme="minorEastAsia" w:cstheme="minorBidi"/>
            <w:b w:val="0"/>
            <w:bCs w:val="0"/>
            <w:caps w:val="0"/>
            <w:noProof/>
            <w:sz w:val="22"/>
            <w:szCs w:val="22"/>
            <w:lang w:eastAsia="en-GB" w:bidi="ar-SA"/>
          </w:rPr>
          <w:tab/>
        </w:r>
        <w:r w:rsidR="006339BD" w:rsidRPr="00514AD1">
          <w:rPr>
            <w:rStyle w:val="Hyperlink"/>
            <w:noProof/>
          </w:rPr>
          <w:t>Implementation and review</w:t>
        </w:r>
        <w:r w:rsidR="006339BD">
          <w:rPr>
            <w:noProof/>
            <w:webHidden/>
          </w:rPr>
          <w:tab/>
        </w:r>
        <w:r w:rsidR="006339BD">
          <w:rPr>
            <w:noProof/>
            <w:webHidden/>
          </w:rPr>
          <w:fldChar w:fldCharType="begin"/>
        </w:r>
        <w:r w:rsidR="006339BD">
          <w:rPr>
            <w:noProof/>
            <w:webHidden/>
          </w:rPr>
          <w:instrText xml:space="preserve"> PAGEREF _Toc103197719 \h </w:instrText>
        </w:r>
        <w:r w:rsidR="006339BD">
          <w:rPr>
            <w:noProof/>
            <w:webHidden/>
          </w:rPr>
        </w:r>
        <w:r w:rsidR="006339BD">
          <w:rPr>
            <w:noProof/>
            <w:webHidden/>
          </w:rPr>
          <w:fldChar w:fldCharType="separate"/>
        </w:r>
        <w:r w:rsidR="00C227B2">
          <w:rPr>
            <w:noProof/>
            <w:webHidden/>
          </w:rPr>
          <w:t>37</w:t>
        </w:r>
        <w:r w:rsidR="006339BD">
          <w:rPr>
            <w:noProof/>
            <w:webHidden/>
          </w:rPr>
          <w:fldChar w:fldCharType="end"/>
        </w:r>
      </w:hyperlink>
    </w:p>
    <w:p w14:paraId="0AB2D104" w14:textId="20B5560A" w:rsidR="006339BD" w:rsidRDefault="001D3755">
      <w:pPr>
        <w:pStyle w:val="TOC2"/>
        <w:tabs>
          <w:tab w:val="right" w:leader="dot" w:pos="9060"/>
        </w:tabs>
        <w:rPr>
          <w:rFonts w:eastAsiaTheme="minorEastAsia" w:cstheme="minorBidi"/>
          <w:smallCaps w:val="0"/>
          <w:noProof/>
          <w:sz w:val="22"/>
          <w:szCs w:val="22"/>
          <w:lang w:eastAsia="en-GB" w:bidi="ar-SA"/>
        </w:rPr>
      </w:pPr>
      <w:hyperlink w:anchor="_Toc103197720" w:history="1">
        <w:r w:rsidR="006339BD" w:rsidRPr="00514AD1">
          <w:rPr>
            <w:rStyle w:val="Hyperlink"/>
            <w:noProof/>
          </w:rPr>
          <w:t>Appendix 1 – EU Health Claims for Electrolyte Drinks</w:t>
        </w:r>
        <w:r w:rsidR="006339BD">
          <w:rPr>
            <w:noProof/>
            <w:webHidden/>
          </w:rPr>
          <w:tab/>
        </w:r>
        <w:r w:rsidR="006339BD">
          <w:rPr>
            <w:noProof/>
            <w:webHidden/>
          </w:rPr>
          <w:fldChar w:fldCharType="begin"/>
        </w:r>
        <w:r w:rsidR="006339BD">
          <w:rPr>
            <w:noProof/>
            <w:webHidden/>
          </w:rPr>
          <w:instrText xml:space="preserve"> PAGEREF _Toc103197720 \h </w:instrText>
        </w:r>
        <w:r w:rsidR="006339BD">
          <w:rPr>
            <w:noProof/>
            <w:webHidden/>
          </w:rPr>
        </w:r>
        <w:r w:rsidR="006339BD">
          <w:rPr>
            <w:noProof/>
            <w:webHidden/>
          </w:rPr>
          <w:fldChar w:fldCharType="separate"/>
        </w:r>
        <w:r w:rsidR="00C227B2">
          <w:rPr>
            <w:noProof/>
            <w:webHidden/>
          </w:rPr>
          <w:t>38</w:t>
        </w:r>
        <w:r w:rsidR="006339BD">
          <w:rPr>
            <w:noProof/>
            <w:webHidden/>
          </w:rPr>
          <w:fldChar w:fldCharType="end"/>
        </w:r>
      </w:hyperlink>
    </w:p>
    <w:p w14:paraId="0909494B" w14:textId="45A6D9F4" w:rsidR="006339BD" w:rsidRDefault="001D3755">
      <w:pPr>
        <w:pStyle w:val="TOC2"/>
        <w:tabs>
          <w:tab w:val="right" w:leader="dot" w:pos="9060"/>
        </w:tabs>
        <w:rPr>
          <w:rFonts w:eastAsiaTheme="minorEastAsia" w:cstheme="minorBidi"/>
          <w:smallCaps w:val="0"/>
          <w:noProof/>
          <w:sz w:val="22"/>
          <w:szCs w:val="22"/>
          <w:lang w:eastAsia="en-GB" w:bidi="ar-SA"/>
        </w:rPr>
      </w:pPr>
      <w:hyperlink w:anchor="_Toc103197721" w:history="1">
        <w:r w:rsidR="006339BD" w:rsidRPr="00514AD1">
          <w:rPr>
            <w:rStyle w:val="Hyperlink"/>
            <w:noProof/>
          </w:rPr>
          <w:t xml:space="preserve">Attachment A – Approved draft variations to the </w:t>
        </w:r>
        <w:r w:rsidR="006339BD" w:rsidRPr="00514AD1">
          <w:rPr>
            <w:rStyle w:val="Hyperlink"/>
            <w:i/>
            <w:noProof/>
          </w:rPr>
          <w:t>Australia New Zealand Food Standards Code</w:t>
        </w:r>
        <w:r w:rsidR="006339BD">
          <w:rPr>
            <w:noProof/>
            <w:webHidden/>
          </w:rPr>
          <w:tab/>
        </w:r>
        <w:r w:rsidR="006339BD">
          <w:rPr>
            <w:noProof/>
            <w:webHidden/>
          </w:rPr>
          <w:fldChar w:fldCharType="begin"/>
        </w:r>
        <w:r w:rsidR="006339BD">
          <w:rPr>
            <w:noProof/>
            <w:webHidden/>
          </w:rPr>
          <w:instrText xml:space="preserve"> PAGEREF _Toc103197721 \h </w:instrText>
        </w:r>
        <w:r w:rsidR="006339BD">
          <w:rPr>
            <w:noProof/>
            <w:webHidden/>
          </w:rPr>
        </w:r>
        <w:r w:rsidR="006339BD">
          <w:rPr>
            <w:noProof/>
            <w:webHidden/>
          </w:rPr>
          <w:fldChar w:fldCharType="separate"/>
        </w:r>
        <w:r w:rsidR="00C227B2">
          <w:rPr>
            <w:noProof/>
            <w:webHidden/>
          </w:rPr>
          <w:t>41</w:t>
        </w:r>
        <w:r w:rsidR="006339BD">
          <w:rPr>
            <w:noProof/>
            <w:webHidden/>
          </w:rPr>
          <w:fldChar w:fldCharType="end"/>
        </w:r>
      </w:hyperlink>
    </w:p>
    <w:p w14:paraId="444D769F" w14:textId="16DEC50A" w:rsidR="006339BD" w:rsidRDefault="001D3755">
      <w:pPr>
        <w:pStyle w:val="TOC2"/>
        <w:tabs>
          <w:tab w:val="right" w:leader="dot" w:pos="9060"/>
        </w:tabs>
        <w:rPr>
          <w:rFonts w:eastAsiaTheme="minorEastAsia" w:cstheme="minorBidi"/>
          <w:smallCaps w:val="0"/>
          <w:noProof/>
          <w:sz w:val="22"/>
          <w:szCs w:val="22"/>
          <w:lang w:eastAsia="en-GB" w:bidi="ar-SA"/>
        </w:rPr>
      </w:pPr>
      <w:hyperlink w:anchor="_Toc103197722" w:history="1">
        <w:r w:rsidR="006339BD" w:rsidRPr="00514AD1">
          <w:rPr>
            <w:rStyle w:val="Hyperlink"/>
            <w:noProof/>
          </w:rPr>
          <w:t>Attachment B – Explanatory Statement</w:t>
        </w:r>
        <w:r w:rsidR="006339BD">
          <w:rPr>
            <w:noProof/>
            <w:webHidden/>
          </w:rPr>
          <w:tab/>
        </w:r>
        <w:r w:rsidR="006339BD">
          <w:rPr>
            <w:noProof/>
            <w:webHidden/>
          </w:rPr>
          <w:fldChar w:fldCharType="begin"/>
        </w:r>
        <w:r w:rsidR="006339BD">
          <w:rPr>
            <w:noProof/>
            <w:webHidden/>
          </w:rPr>
          <w:instrText xml:space="preserve"> PAGEREF _Toc103197722 \h </w:instrText>
        </w:r>
        <w:r w:rsidR="006339BD">
          <w:rPr>
            <w:noProof/>
            <w:webHidden/>
          </w:rPr>
        </w:r>
        <w:r w:rsidR="006339BD">
          <w:rPr>
            <w:noProof/>
            <w:webHidden/>
          </w:rPr>
          <w:fldChar w:fldCharType="separate"/>
        </w:r>
        <w:r w:rsidR="00C227B2">
          <w:rPr>
            <w:noProof/>
            <w:webHidden/>
          </w:rPr>
          <w:t>49</w:t>
        </w:r>
        <w:r w:rsidR="006339BD">
          <w:rPr>
            <w:noProof/>
            <w:webHidden/>
          </w:rPr>
          <w:fldChar w:fldCharType="end"/>
        </w:r>
      </w:hyperlink>
    </w:p>
    <w:p w14:paraId="6ACC8A53" w14:textId="745B7E5D" w:rsidR="006339BD" w:rsidRDefault="001D3755">
      <w:pPr>
        <w:pStyle w:val="TOC2"/>
        <w:tabs>
          <w:tab w:val="right" w:leader="dot" w:pos="9060"/>
        </w:tabs>
        <w:rPr>
          <w:rFonts w:eastAsiaTheme="minorEastAsia" w:cstheme="minorBidi"/>
          <w:smallCaps w:val="0"/>
          <w:noProof/>
          <w:sz w:val="22"/>
          <w:szCs w:val="22"/>
          <w:lang w:eastAsia="en-GB" w:bidi="ar-SA"/>
        </w:rPr>
      </w:pPr>
      <w:hyperlink w:anchor="_Toc103197723" w:history="1">
        <w:r w:rsidR="006339BD" w:rsidRPr="00514AD1">
          <w:rPr>
            <w:rStyle w:val="Hyperlink"/>
            <w:noProof/>
          </w:rPr>
          <w:t xml:space="preserve">Attachment C –  Amended Draft variation to the </w:t>
        </w:r>
        <w:r w:rsidR="006339BD" w:rsidRPr="00514AD1">
          <w:rPr>
            <w:rStyle w:val="Hyperlink"/>
            <w:i/>
            <w:noProof/>
          </w:rPr>
          <w:t xml:space="preserve">Australia New Zealand Food Standards Code </w:t>
        </w:r>
        <w:r w:rsidR="006339BD" w:rsidRPr="00514AD1">
          <w:rPr>
            <w:rStyle w:val="Hyperlink"/>
            <w:noProof/>
          </w:rPr>
          <w:t>(consultation paper)</w:t>
        </w:r>
        <w:r w:rsidR="006339BD">
          <w:rPr>
            <w:noProof/>
            <w:webHidden/>
          </w:rPr>
          <w:tab/>
        </w:r>
        <w:r w:rsidR="006339BD">
          <w:rPr>
            <w:noProof/>
            <w:webHidden/>
          </w:rPr>
          <w:fldChar w:fldCharType="begin"/>
        </w:r>
        <w:r w:rsidR="006339BD">
          <w:rPr>
            <w:noProof/>
            <w:webHidden/>
          </w:rPr>
          <w:instrText xml:space="preserve"> PAGEREF _Toc103197723 \h </w:instrText>
        </w:r>
        <w:r w:rsidR="006339BD">
          <w:rPr>
            <w:noProof/>
            <w:webHidden/>
          </w:rPr>
        </w:r>
        <w:r w:rsidR="006339BD">
          <w:rPr>
            <w:noProof/>
            <w:webHidden/>
          </w:rPr>
          <w:fldChar w:fldCharType="separate"/>
        </w:r>
        <w:r w:rsidR="00C227B2">
          <w:rPr>
            <w:noProof/>
            <w:webHidden/>
          </w:rPr>
          <w:t>58</w:t>
        </w:r>
        <w:r w:rsidR="006339BD">
          <w:rPr>
            <w:noProof/>
            <w:webHidden/>
          </w:rPr>
          <w:fldChar w:fldCharType="end"/>
        </w:r>
      </w:hyperlink>
    </w:p>
    <w:p w14:paraId="43E386D1" w14:textId="5C548809" w:rsidR="006339BD" w:rsidRDefault="001D3755">
      <w:pPr>
        <w:pStyle w:val="TOC2"/>
        <w:tabs>
          <w:tab w:val="right" w:leader="dot" w:pos="9060"/>
        </w:tabs>
        <w:rPr>
          <w:rFonts w:eastAsiaTheme="minorEastAsia" w:cstheme="minorBidi"/>
          <w:smallCaps w:val="0"/>
          <w:noProof/>
          <w:sz w:val="22"/>
          <w:szCs w:val="22"/>
          <w:lang w:eastAsia="en-GB" w:bidi="ar-SA"/>
        </w:rPr>
      </w:pPr>
      <w:hyperlink w:anchor="_Toc103197724" w:history="1">
        <w:r w:rsidR="006339BD" w:rsidRPr="00514AD1">
          <w:rPr>
            <w:rStyle w:val="Hyperlink"/>
            <w:noProof/>
          </w:rPr>
          <w:t xml:space="preserve">Attachment D – Draft variation to the </w:t>
        </w:r>
        <w:r w:rsidR="006339BD" w:rsidRPr="00514AD1">
          <w:rPr>
            <w:rStyle w:val="Hyperlink"/>
            <w:i/>
            <w:noProof/>
          </w:rPr>
          <w:t xml:space="preserve">Australia New Zealand Food Standards Code </w:t>
        </w:r>
        <w:r w:rsidR="006339BD" w:rsidRPr="00514AD1">
          <w:rPr>
            <w:rStyle w:val="Hyperlink"/>
            <w:noProof/>
          </w:rPr>
          <w:t>(call for submissions)</w:t>
        </w:r>
        <w:r w:rsidR="006339BD">
          <w:rPr>
            <w:noProof/>
            <w:webHidden/>
          </w:rPr>
          <w:tab/>
        </w:r>
        <w:r w:rsidR="006339BD">
          <w:rPr>
            <w:noProof/>
            <w:webHidden/>
          </w:rPr>
          <w:fldChar w:fldCharType="begin"/>
        </w:r>
        <w:r w:rsidR="006339BD">
          <w:rPr>
            <w:noProof/>
            <w:webHidden/>
          </w:rPr>
          <w:instrText xml:space="preserve"> PAGEREF _Toc103197724 \h </w:instrText>
        </w:r>
        <w:r w:rsidR="006339BD">
          <w:rPr>
            <w:noProof/>
            <w:webHidden/>
          </w:rPr>
        </w:r>
        <w:r w:rsidR="006339BD">
          <w:rPr>
            <w:noProof/>
            <w:webHidden/>
          </w:rPr>
          <w:fldChar w:fldCharType="separate"/>
        </w:r>
        <w:r w:rsidR="00C227B2">
          <w:rPr>
            <w:noProof/>
            <w:webHidden/>
          </w:rPr>
          <w:t>66</w:t>
        </w:r>
        <w:r w:rsidR="006339BD">
          <w:rPr>
            <w:noProof/>
            <w:webHidden/>
          </w:rPr>
          <w:fldChar w:fldCharType="end"/>
        </w:r>
      </w:hyperlink>
    </w:p>
    <w:p w14:paraId="56A1B4C2" w14:textId="6095D139" w:rsidR="007F7BF7" w:rsidRDefault="00B55714" w:rsidP="00CA5734">
      <w:r w:rsidRPr="00346622">
        <w:rPr>
          <w:rFonts w:cs="Arial"/>
          <w:sz w:val="20"/>
          <w:szCs w:val="20"/>
        </w:rPr>
        <w:fldChar w:fldCharType="end"/>
      </w:r>
    </w:p>
    <w:p w14:paraId="64CC71C7" w14:textId="0B133750" w:rsidR="00242992" w:rsidRPr="000B427A" w:rsidRDefault="00A671E6" w:rsidP="00242992">
      <w:pPr>
        <w:rPr>
          <w:b/>
          <w:bCs/>
        </w:rPr>
      </w:pPr>
      <w:r w:rsidRPr="000B427A">
        <w:rPr>
          <w:b/>
          <w:bCs/>
        </w:rPr>
        <w:t>S</w:t>
      </w:r>
      <w:r w:rsidR="00242992" w:rsidRPr="000B427A">
        <w:rPr>
          <w:b/>
          <w:bCs/>
        </w:rPr>
        <w:t xml:space="preserve">upporting document </w:t>
      </w:r>
    </w:p>
    <w:p w14:paraId="1235CFFD" w14:textId="77777777" w:rsidR="00242992" w:rsidRPr="0089264A" w:rsidRDefault="00242992" w:rsidP="00242992">
      <w:pPr>
        <w:rPr>
          <w:szCs w:val="22"/>
        </w:rPr>
      </w:pPr>
    </w:p>
    <w:p w14:paraId="3578D794" w14:textId="31D4CA08" w:rsidR="00242992" w:rsidRPr="007D1044" w:rsidRDefault="00242992" w:rsidP="00242992">
      <w:pPr>
        <w:rPr>
          <w:szCs w:val="22"/>
        </w:rPr>
      </w:pPr>
      <w:r w:rsidRPr="00163AA9">
        <w:rPr>
          <w:szCs w:val="22"/>
        </w:rPr>
        <w:t xml:space="preserve">The </w:t>
      </w:r>
      <w:hyperlink r:id="rId19" w:history="1">
        <w:r w:rsidRPr="007D1044">
          <w:rPr>
            <w:rStyle w:val="Hyperlink"/>
            <w:szCs w:val="22"/>
          </w:rPr>
          <w:t>following document</w:t>
        </w:r>
        <w:r w:rsidR="00387A70" w:rsidRPr="007D1044">
          <w:rPr>
            <w:rStyle w:val="Hyperlink"/>
            <w:szCs w:val="22"/>
          </w:rPr>
          <w:t>s</w:t>
        </w:r>
      </w:hyperlink>
      <w:r>
        <w:rPr>
          <w:szCs w:val="22"/>
        </w:rPr>
        <w:t xml:space="preserve"> which</w:t>
      </w:r>
      <w:r w:rsidRPr="00366AC3">
        <w:rPr>
          <w:szCs w:val="22"/>
        </w:rPr>
        <w:t xml:space="preserve"> </w:t>
      </w:r>
      <w:r>
        <w:rPr>
          <w:szCs w:val="22"/>
        </w:rPr>
        <w:t>i</w:t>
      </w:r>
      <w:r w:rsidR="00996520">
        <w:rPr>
          <w:szCs w:val="22"/>
        </w:rPr>
        <w:t xml:space="preserve">nformed the assessment of this </w:t>
      </w:r>
      <w:r w:rsidR="006158E4">
        <w:rPr>
          <w:szCs w:val="22"/>
        </w:rPr>
        <w:t>Proposal</w:t>
      </w:r>
      <w:r w:rsidRPr="00366AC3">
        <w:rPr>
          <w:szCs w:val="22"/>
        </w:rPr>
        <w:t xml:space="preserve"> </w:t>
      </w:r>
      <w:r w:rsidR="00387A70">
        <w:rPr>
          <w:szCs w:val="22"/>
        </w:rPr>
        <w:t xml:space="preserve">are </w:t>
      </w:r>
      <w:r w:rsidRPr="0089264A">
        <w:rPr>
          <w:szCs w:val="22"/>
        </w:rPr>
        <w:t xml:space="preserve">available on the FSANZ </w:t>
      </w:r>
      <w:r w:rsidRPr="007D1044">
        <w:rPr>
          <w:szCs w:val="22"/>
        </w:rPr>
        <w:t>website:</w:t>
      </w:r>
    </w:p>
    <w:p w14:paraId="77F32B38" w14:textId="77777777" w:rsidR="00242992" w:rsidRPr="0089264A" w:rsidRDefault="00242992" w:rsidP="00242992">
      <w:pPr>
        <w:rPr>
          <w:szCs w:val="22"/>
        </w:rPr>
      </w:pPr>
    </w:p>
    <w:p w14:paraId="7E416CCA" w14:textId="03385015" w:rsidR="00242992" w:rsidRPr="007D1044" w:rsidRDefault="00E67D3B" w:rsidP="00242992">
      <w:r>
        <w:t>SD1</w:t>
      </w:r>
      <w:r>
        <w:tab/>
        <w:t xml:space="preserve">Risk Assessment (at Approval) </w:t>
      </w:r>
    </w:p>
    <w:p w14:paraId="6F183FC8" w14:textId="3E21AB9C" w:rsidR="00812C36" w:rsidRDefault="007B4B2D" w:rsidP="007032D8">
      <w:pPr>
        <w:spacing w:line="280" w:lineRule="exact"/>
        <w:outlineLvl w:val="3"/>
      </w:pPr>
      <w:r w:rsidRPr="007B4B2D">
        <w:rPr>
          <w:szCs w:val="22"/>
        </w:rPr>
        <w:t>SD2</w:t>
      </w:r>
      <w:r>
        <w:rPr>
          <w:color w:val="FF0000"/>
          <w:szCs w:val="22"/>
        </w:rPr>
        <w:tab/>
      </w:r>
      <w:r w:rsidRPr="007B4B2D">
        <w:rPr>
          <w:szCs w:val="22"/>
        </w:rPr>
        <w:t>Electrolyte</w:t>
      </w:r>
      <w:r w:rsidRPr="007B4B2D">
        <w:t xml:space="preserve"> </w:t>
      </w:r>
      <w:r>
        <w:t>drink market, consumption and consumer research</w:t>
      </w:r>
      <w:r w:rsidR="00E67D3B">
        <w:t xml:space="preserve"> (at Approval)</w:t>
      </w:r>
      <w:r>
        <w:t xml:space="preserve"> </w:t>
      </w:r>
    </w:p>
    <w:p w14:paraId="2CC1455B" w14:textId="77777777" w:rsidR="00812C36" w:rsidRDefault="00812C36">
      <w:pPr>
        <w:widowControl/>
      </w:pPr>
      <w:r>
        <w:br w:type="page"/>
      </w:r>
    </w:p>
    <w:p w14:paraId="1053D186" w14:textId="54E93A19" w:rsidR="007A53BF" w:rsidRPr="007A53BF" w:rsidRDefault="007A53BF" w:rsidP="007032D8">
      <w:pPr>
        <w:pStyle w:val="Heading1"/>
        <w:tabs>
          <w:tab w:val="center" w:pos="4535"/>
        </w:tabs>
      </w:pPr>
      <w:bookmarkStart w:id="1" w:name="_Toc286391001"/>
      <w:bookmarkStart w:id="2" w:name="_Toc300933414"/>
      <w:bookmarkStart w:id="3" w:name="_Toc370223463"/>
      <w:bookmarkStart w:id="4" w:name="_Toc100829752"/>
      <w:bookmarkStart w:id="5" w:name="_Toc103090794"/>
      <w:bookmarkStart w:id="6" w:name="_Toc103197686"/>
      <w:bookmarkStart w:id="7" w:name="_Toc11735627"/>
      <w:bookmarkStart w:id="8" w:name="_Toc29883110"/>
      <w:bookmarkStart w:id="9" w:name="_Toc41906797"/>
      <w:bookmarkStart w:id="10" w:name="_Toc41907544"/>
      <w:bookmarkStart w:id="11" w:name="_Toc120358575"/>
      <w:r w:rsidRPr="007A53BF">
        <w:lastRenderedPageBreak/>
        <w:t>Executive summary</w:t>
      </w:r>
      <w:bookmarkEnd w:id="1"/>
      <w:bookmarkEnd w:id="2"/>
      <w:bookmarkEnd w:id="3"/>
      <w:bookmarkEnd w:id="4"/>
      <w:bookmarkEnd w:id="5"/>
      <w:bookmarkEnd w:id="6"/>
    </w:p>
    <w:p w14:paraId="418CD6EA" w14:textId="74FBAA9C" w:rsidR="007103FB" w:rsidRDefault="007103FB" w:rsidP="007103FB">
      <w:pPr>
        <w:rPr>
          <w:szCs w:val="22"/>
        </w:rPr>
      </w:pPr>
      <w:r>
        <w:t xml:space="preserve">Proposal P1030 was prepared </w:t>
      </w:r>
      <w:r w:rsidRPr="000A4218">
        <w:t xml:space="preserve">to </w:t>
      </w:r>
      <w:r>
        <w:t xml:space="preserve">assess whether </w:t>
      </w:r>
      <w:r w:rsidRPr="00615742">
        <w:rPr>
          <w:szCs w:val="22"/>
        </w:rPr>
        <w:t>formulated supplementary sports foods (FSSF)</w:t>
      </w:r>
      <w:r>
        <w:rPr>
          <w:szCs w:val="22"/>
        </w:rPr>
        <w:t xml:space="preserve">, </w:t>
      </w:r>
      <w:r w:rsidRPr="00615742">
        <w:rPr>
          <w:szCs w:val="22"/>
        </w:rPr>
        <w:t>electrolyte dr</w:t>
      </w:r>
      <w:r>
        <w:rPr>
          <w:szCs w:val="22"/>
        </w:rPr>
        <w:t>inks and electrolyte drink bases</w:t>
      </w:r>
      <w:r w:rsidR="00AC1B46">
        <w:rPr>
          <w:rStyle w:val="FootnoteReference"/>
          <w:szCs w:val="22"/>
        </w:rPr>
        <w:footnoteReference w:id="2"/>
      </w:r>
      <w:r w:rsidRPr="00615742">
        <w:rPr>
          <w:szCs w:val="22"/>
        </w:rPr>
        <w:t xml:space="preserve"> </w:t>
      </w:r>
      <w:r>
        <w:rPr>
          <w:szCs w:val="22"/>
        </w:rPr>
        <w:t xml:space="preserve">should be permitted </w:t>
      </w:r>
      <w:r w:rsidRPr="00615742">
        <w:rPr>
          <w:szCs w:val="22"/>
        </w:rPr>
        <w:t xml:space="preserve">to carry health claims consistent with their </w:t>
      </w:r>
      <w:r w:rsidRPr="000A4218">
        <w:t xml:space="preserve">intended purpose related to </w:t>
      </w:r>
      <w:r>
        <w:t xml:space="preserve">strenuous </w:t>
      </w:r>
      <w:r w:rsidRPr="000A4218">
        <w:t xml:space="preserve">physical </w:t>
      </w:r>
      <w:r>
        <w:t>activity</w:t>
      </w:r>
      <w:r w:rsidRPr="000A4218">
        <w:t xml:space="preserve">. </w:t>
      </w:r>
      <w:r w:rsidR="00192ACC">
        <w:rPr>
          <w:szCs w:val="22"/>
        </w:rPr>
        <w:t xml:space="preserve">The other objective of this </w:t>
      </w:r>
      <w:r w:rsidR="0082449E">
        <w:rPr>
          <w:szCs w:val="22"/>
        </w:rPr>
        <w:t>P</w:t>
      </w:r>
      <w:r>
        <w:rPr>
          <w:szCs w:val="22"/>
        </w:rPr>
        <w:t>roposal</w:t>
      </w:r>
      <w:r w:rsidR="00192ACC">
        <w:rPr>
          <w:szCs w:val="22"/>
        </w:rPr>
        <w:t xml:space="preserve"> </w:t>
      </w:r>
      <w:r>
        <w:rPr>
          <w:szCs w:val="22"/>
        </w:rPr>
        <w:t>was</w:t>
      </w:r>
      <w:r w:rsidRPr="00615742">
        <w:rPr>
          <w:szCs w:val="22"/>
        </w:rPr>
        <w:t xml:space="preserve"> </w:t>
      </w:r>
      <w:r>
        <w:rPr>
          <w:szCs w:val="22"/>
        </w:rPr>
        <w:t>to</w:t>
      </w:r>
      <w:r w:rsidRPr="00615742">
        <w:rPr>
          <w:szCs w:val="22"/>
        </w:rPr>
        <w:t xml:space="preserve"> transfer </w:t>
      </w:r>
      <w:r>
        <w:rPr>
          <w:szCs w:val="22"/>
        </w:rPr>
        <w:t xml:space="preserve">the regulation of electrolyte drinks </w:t>
      </w:r>
      <w:r w:rsidRPr="00615742">
        <w:rPr>
          <w:szCs w:val="22"/>
        </w:rPr>
        <w:t>from Standard 2.6.2 – Non-Alcoholic Beverages and Brewed Soft Drinks to Standard 2.9.4 – Formulated Supplementary Sports Foods</w:t>
      </w:r>
      <w:r>
        <w:rPr>
          <w:szCs w:val="22"/>
        </w:rPr>
        <w:t xml:space="preserve"> of the </w:t>
      </w:r>
      <w:r w:rsidRPr="00C22BC8">
        <w:rPr>
          <w:szCs w:val="22"/>
        </w:rPr>
        <w:t>Australia New Zealand Food Standards Code</w:t>
      </w:r>
      <w:r>
        <w:rPr>
          <w:szCs w:val="22"/>
        </w:rPr>
        <w:t xml:space="preserve"> (the Code)</w:t>
      </w:r>
      <w:r w:rsidRPr="00615742">
        <w:rPr>
          <w:szCs w:val="22"/>
        </w:rPr>
        <w:t xml:space="preserve">. </w:t>
      </w:r>
    </w:p>
    <w:p w14:paraId="60B58EFB" w14:textId="377CF9DD" w:rsidR="00584BB1" w:rsidRDefault="007103FB" w:rsidP="007B4B2D">
      <w:pPr>
        <w:widowControl/>
        <w:spacing w:before="120" w:after="120"/>
        <w:rPr>
          <w:szCs w:val="22"/>
        </w:rPr>
      </w:pPr>
      <w:r>
        <w:rPr>
          <w:szCs w:val="22"/>
        </w:rPr>
        <w:t>Food Standards Australia New Zealand (</w:t>
      </w:r>
      <w:r w:rsidRPr="00C97F89">
        <w:t>FSANZ</w:t>
      </w:r>
      <w:r>
        <w:t>)</w:t>
      </w:r>
      <w:r w:rsidRPr="00C97F89">
        <w:t xml:space="preserve"> </w:t>
      </w:r>
      <w:r>
        <w:t xml:space="preserve">assessed the Proposal in 2014 and prepared a draft variation to </w:t>
      </w:r>
      <w:r>
        <w:rPr>
          <w:szCs w:val="22"/>
        </w:rPr>
        <w:t xml:space="preserve">the </w:t>
      </w:r>
      <w:r w:rsidRPr="00BB1A70">
        <w:rPr>
          <w:szCs w:val="22"/>
        </w:rPr>
        <w:t>Code</w:t>
      </w:r>
      <w:r w:rsidRPr="00BB1A70">
        <w:rPr>
          <w:i/>
          <w:szCs w:val="22"/>
        </w:rPr>
        <w:t xml:space="preserve"> </w:t>
      </w:r>
      <w:r>
        <w:rPr>
          <w:szCs w:val="22"/>
        </w:rPr>
        <w:t>that would</w:t>
      </w:r>
      <w:r w:rsidRPr="00BB1A70">
        <w:rPr>
          <w:szCs w:val="22"/>
        </w:rPr>
        <w:t xml:space="preserve"> give effect to the above.</w:t>
      </w:r>
      <w:r w:rsidRPr="00BB1A70">
        <w:rPr>
          <w:i/>
          <w:szCs w:val="22"/>
        </w:rPr>
        <w:t xml:space="preserve"> </w:t>
      </w:r>
      <w:r>
        <w:rPr>
          <w:szCs w:val="22"/>
        </w:rPr>
        <w:t>A</w:t>
      </w:r>
      <w:r w:rsidR="00D72A1A">
        <w:t xml:space="preserve"> Call for Submissions </w:t>
      </w:r>
      <w:r>
        <w:t>was issued in 2014</w:t>
      </w:r>
      <w:r w:rsidR="00192ACC">
        <w:t>.</w:t>
      </w:r>
      <w:r>
        <w:t xml:space="preserve"> </w:t>
      </w:r>
      <w:r w:rsidR="00192ACC" w:rsidRPr="00192ACC">
        <w:t>Submitters generally did not support the proposed changes to the Code.</w:t>
      </w:r>
      <w:r w:rsidR="00192ACC">
        <w:t xml:space="preserve"> </w:t>
      </w:r>
    </w:p>
    <w:p w14:paraId="57D627F5" w14:textId="20000594" w:rsidR="00584BB1" w:rsidRDefault="00584BB1" w:rsidP="007B4B2D">
      <w:pPr>
        <w:widowControl/>
        <w:spacing w:before="120" w:after="120"/>
        <w:rPr>
          <w:lang w:bidi="ar-SA"/>
        </w:rPr>
      </w:pPr>
      <w:r>
        <w:rPr>
          <w:szCs w:val="22"/>
        </w:rPr>
        <w:t xml:space="preserve">After considering </w:t>
      </w:r>
      <w:r w:rsidR="00192ACC">
        <w:rPr>
          <w:szCs w:val="22"/>
        </w:rPr>
        <w:t xml:space="preserve">stakeholder submissions, and </w:t>
      </w:r>
      <w:r w:rsidR="00A255B2">
        <w:rPr>
          <w:szCs w:val="22"/>
        </w:rPr>
        <w:t xml:space="preserve">after </w:t>
      </w:r>
      <w:r>
        <w:rPr>
          <w:szCs w:val="22"/>
        </w:rPr>
        <w:t>taking into account</w:t>
      </w:r>
      <w:r>
        <w:t xml:space="preserve"> </w:t>
      </w:r>
      <w:r w:rsidR="007103FB">
        <w:t xml:space="preserve">recent market developments, </w:t>
      </w:r>
      <w:r w:rsidR="007103FB" w:rsidDel="00584BB1">
        <w:t xml:space="preserve">FSANZ </w:t>
      </w:r>
      <w:r>
        <w:t>in May 2021 sought stakeholder views on</w:t>
      </w:r>
      <w:r w:rsidR="007103FB">
        <w:t xml:space="preserve"> </w:t>
      </w:r>
      <w:r w:rsidR="00843962">
        <w:t xml:space="preserve">a </w:t>
      </w:r>
      <w:r w:rsidR="007103FB">
        <w:t>possible modified approach</w:t>
      </w:r>
      <w:r w:rsidR="007103FB">
        <w:rPr>
          <w:lang w:bidi="ar-SA"/>
        </w:rPr>
        <w:t xml:space="preserve">. </w:t>
      </w:r>
      <w:r w:rsidR="00192ACC">
        <w:rPr>
          <w:lang w:bidi="ar-SA"/>
        </w:rPr>
        <w:t xml:space="preserve">FSANZ released a </w:t>
      </w:r>
      <w:r w:rsidR="007103FB">
        <w:rPr>
          <w:lang w:bidi="ar-SA"/>
        </w:rPr>
        <w:t xml:space="preserve">Consultation Paper </w:t>
      </w:r>
      <w:r>
        <w:rPr>
          <w:lang w:bidi="ar-SA"/>
        </w:rPr>
        <w:t>seeking views on an</w:t>
      </w:r>
      <w:r w:rsidR="007103FB">
        <w:rPr>
          <w:lang w:bidi="ar-SA"/>
        </w:rPr>
        <w:t xml:space="preserve"> amended draft variation</w:t>
      </w:r>
      <w:r w:rsidR="00A04352">
        <w:rPr>
          <w:lang w:bidi="ar-SA"/>
        </w:rPr>
        <w:t>, and received</w:t>
      </w:r>
      <w:r>
        <w:rPr>
          <w:lang w:bidi="ar-SA"/>
        </w:rPr>
        <w:t xml:space="preserve"> </w:t>
      </w:r>
      <w:r w:rsidR="00192ACC">
        <w:rPr>
          <w:lang w:bidi="ar-SA"/>
        </w:rPr>
        <w:t xml:space="preserve">17 </w:t>
      </w:r>
      <w:r w:rsidR="007103FB">
        <w:rPr>
          <w:lang w:bidi="ar-SA"/>
        </w:rPr>
        <w:t xml:space="preserve">submissions </w:t>
      </w:r>
      <w:r w:rsidR="00A04352">
        <w:rPr>
          <w:lang w:bidi="ar-SA"/>
        </w:rPr>
        <w:t xml:space="preserve">in response. </w:t>
      </w:r>
    </w:p>
    <w:p w14:paraId="5FF670A6" w14:textId="00B0F6FD" w:rsidR="007103FB" w:rsidRDefault="00584BB1" w:rsidP="00FF2025">
      <w:pPr>
        <w:widowControl/>
        <w:spacing w:before="120" w:after="120"/>
      </w:pPr>
      <w:r>
        <w:rPr>
          <w:lang w:bidi="ar-SA"/>
        </w:rPr>
        <w:t>After consideration of all submissions received in 2014 and in 2021, and for the reasons</w:t>
      </w:r>
      <w:r w:rsidR="007103FB">
        <w:rPr>
          <w:lang w:bidi="ar-SA"/>
        </w:rPr>
        <w:t xml:space="preserve"> </w:t>
      </w:r>
      <w:r w:rsidR="00843962">
        <w:rPr>
          <w:lang w:bidi="ar-SA"/>
        </w:rPr>
        <w:t xml:space="preserve">set </w:t>
      </w:r>
      <w:r w:rsidR="007103FB">
        <w:rPr>
          <w:lang w:bidi="ar-SA"/>
        </w:rPr>
        <w:t xml:space="preserve">out </w:t>
      </w:r>
      <w:r w:rsidR="00AC1B46">
        <w:rPr>
          <w:lang w:bidi="ar-SA"/>
        </w:rPr>
        <w:t>in this R</w:t>
      </w:r>
      <w:r w:rsidR="007103FB" w:rsidRPr="00B773C4">
        <w:rPr>
          <w:lang w:bidi="ar-SA"/>
        </w:rPr>
        <w:t xml:space="preserve">eport, FSANZ </w:t>
      </w:r>
      <w:r w:rsidR="007103FB" w:rsidDel="00584BB1">
        <w:rPr>
          <w:lang w:bidi="ar-SA"/>
        </w:rPr>
        <w:t>has</w:t>
      </w:r>
      <w:r w:rsidR="007103FB" w:rsidRPr="00B773C4" w:rsidDel="00584BB1">
        <w:rPr>
          <w:lang w:bidi="ar-SA"/>
        </w:rPr>
        <w:t xml:space="preserve"> </w:t>
      </w:r>
      <w:r w:rsidR="007103FB" w:rsidRPr="00B773C4">
        <w:rPr>
          <w:lang w:bidi="ar-SA"/>
        </w:rPr>
        <w:t>approve</w:t>
      </w:r>
      <w:r w:rsidR="007103FB">
        <w:rPr>
          <w:lang w:bidi="ar-SA"/>
        </w:rPr>
        <w:t xml:space="preserve">d </w:t>
      </w:r>
      <w:r w:rsidR="00A04352">
        <w:rPr>
          <w:lang w:bidi="ar-SA"/>
        </w:rPr>
        <w:t xml:space="preserve">an amended </w:t>
      </w:r>
      <w:r w:rsidR="00AC1B46">
        <w:rPr>
          <w:lang w:bidi="ar-SA"/>
        </w:rPr>
        <w:t>final</w:t>
      </w:r>
      <w:r w:rsidR="007103FB" w:rsidRPr="00B773C4">
        <w:rPr>
          <w:lang w:bidi="ar-SA"/>
        </w:rPr>
        <w:t xml:space="preserve"> draft variation</w:t>
      </w:r>
      <w:r>
        <w:t xml:space="preserve">. </w:t>
      </w:r>
      <w:r w:rsidR="00FF2025" w:rsidRPr="00B773C4">
        <w:rPr>
          <w:lang w:bidi="ar-SA"/>
        </w:rPr>
        <w:t>T</w:t>
      </w:r>
      <w:r w:rsidR="007103FB" w:rsidRPr="00B773C4">
        <w:rPr>
          <w:lang w:bidi="ar-SA"/>
        </w:rPr>
        <w:t xml:space="preserve">he </w:t>
      </w:r>
      <w:r w:rsidR="007103FB">
        <w:rPr>
          <w:lang w:bidi="ar-SA"/>
        </w:rPr>
        <w:t xml:space="preserve">approved </w:t>
      </w:r>
      <w:r w:rsidR="007103FB" w:rsidRPr="00B773C4">
        <w:rPr>
          <w:lang w:bidi="ar-SA"/>
        </w:rPr>
        <w:t>draft variation will:</w:t>
      </w:r>
      <w:r w:rsidR="007103FB">
        <w:rPr>
          <w:lang w:bidi="ar-SA"/>
        </w:rPr>
        <w:t xml:space="preserve"> </w:t>
      </w:r>
    </w:p>
    <w:p w14:paraId="0C4C728A" w14:textId="0CA9DD60" w:rsidR="007103FB" w:rsidRDefault="00A04352" w:rsidP="007103FB">
      <w:pPr>
        <w:pStyle w:val="ListParagraph"/>
        <w:widowControl/>
        <w:numPr>
          <w:ilvl w:val="0"/>
          <w:numId w:val="26"/>
        </w:numPr>
        <w:spacing w:before="120" w:after="120"/>
        <w:ind w:left="567" w:hanging="567"/>
        <w:contextualSpacing w:val="0"/>
      </w:pPr>
      <w:r>
        <w:t>A</w:t>
      </w:r>
      <w:r w:rsidR="007103FB">
        <w:t>mend the</w:t>
      </w:r>
      <w:r w:rsidR="007103FB" w:rsidRPr="00D80363">
        <w:t xml:space="preserve"> definition of </w:t>
      </w:r>
      <w:r w:rsidR="007103FB">
        <w:t>‘electrolyte drink’ to align more closely with compositional requirements and ensure product differentiation</w:t>
      </w:r>
      <w:r>
        <w:t>.</w:t>
      </w:r>
    </w:p>
    <w:p w14:paraId="6BD2D0A0" w14:textId="39A20F84" w:rsidR="007103FB" w:rsidRDefault="00E04992" w:rsidP="007103FB">
      <w:pPr>
        <w:pStyle w:val="ListParagraph"/>
        <w:widowControl/>
        <w:numPr>
          <w:ilvl w:val="0"/>
          <w:numId w:val="26"/>
        </w:numPr>
        <w:spacing w:before="120" w:after="120"/>
        <w:ind w:left="567" w:hanging="567"/>
        <w:contextualSpacing w:val="0"/>
      </w:pPr>
      <w:r>
        <w:t>P</w:t>
      </w:r>
      <w:r w:rsidR="007103FB">
        <w:t xml:space="preserve">rescribe the name ‘electrolyte drink’ to enable </w:t>
      </w:r>
      <w:r w:rsidR="00A04352">
        <w:t>improved</w:t>
      </w:r>
      <w:r w:rsidR="007103FB">
        <w:t xml:space="preserve"> identification of electrolyte drinks among similar products not regulated as electrolyte drinks</w:t>
      </w:r>
      <w:r>
        <w:t>.</w:t>
      </w:r>
    </w:p>
    <w:p w14:paraId="119A88AF" w14:textId="4544E523" w:rsidR="007103FB" w:rsidRDefault="00E04992" w:rsidP="007103FB">
      <w:pPr>
        <w:pStyle w:val="ListParagraph"/>
        <w:widowControl/>
        <w:numPr>
          <w:ilvl w:val="0"/>
          <w:numId w:val="26"/>
        </w:numPr>
        <w:spacing w:before="120" w:after="120"/>
        <w:ind w:left="567" w:hanging="567"/>
        <w:contextualSpacing w:val="0"/>
      </w:pPr>
      <w:r>
        <w:t>R</w:t>
      </w:r>
      <w:r w:rsidR="007103FB">
        <w:t xml:space="preserve">educe the </w:t>
      </w:r>
      <w:r w:rsidR="007103FB" w:rsidRPr="006329EA">
        <w:t xml:space="preserve">minimum requirement for carbohydrate </w:t>
      </w:r>
      <w:r w:rsidR="007103FB">
        <w:t xml:space="preserve">in electrolyte drinks </w:t>
      </w:r>
      <w:r w:rsidR="007103FB" w:rsidRPr="006329EA">
        <w:t>from 50 g/L to 20 g/L</w:t>
      </w:r>
      <w:r w:rsidR="00584BB1">
        <w:t>. This is</w:t>
      </w:r>
      <w:r w:rsidR="007103FB">
        <w:t xml:space="preserve"> to facilitate </w:t>
      </w:r>
      <w:r w:rsidR="00A04352">
        <w:t xml:space="preserve">product </w:t>
      </w:r>
      <w:r w:rsidR="007103FB">
        <w:t xml:space="preserve">innovation and allow manufacturers to </w:t>
      </w:r>
      <w:r w:rsidR="00A04352">
        <w:t xml:space="preserve">develop </w:t>
      </w:r>
      <w:r w:rsidR="007103FB">
        <w:t>healthier electrolyte drink options</w:t>
      </w:r>
      <w:r>
        <w:t>.</w:t>
      </w:r>
      <w:r w:rsidR="007103FB">
        <w:t xml:space="preserve"> </w:t>
      </w:r>
    </w:p>
    <w:p w14:paraId="707A4D1B" w14:textId="791E4C02" w:rsidR="007103FB" w:rsidRDefault="00E04992" w:rsidP="007103FB">
      <w:pPr>
        <w:pStyle w:val="ListParagraph"/>
        <w:widowControl/>
        <w:numPr>
          <w:ilvl w:val="0"/>
          <w:numId w:val="26"/>
        </w:numPr>
        <w:spacing w:before="120" w:after="120"/>
        <w:ind w:left="567" w:hanging="567"/>
        <w:contextualSpacing w:val="0"/>
      </w:pPr>
      <w:r>
        <w:t>L</w:t>
      </w:r>
      <w:r w:rsidR="007103FB">
        <w:t>imit the maximum fructose permitted in electrolyte drinks to 50% of the total amount of carbohydrate to reflect the scientific evidence regarding both carbohydrate utilisation and the adverse effects of a high</w:t>
      </w:r>
      <w:r w:rsidR="00A04352">
        <w:t>-</w:t>
      </w:r>
      <w:r w:rsidR="007103FB">
        <w:t>fructose intake during physical activity</w:t>
      </w:r>
      <w:r>
        <w:t>.</w:t>
      </w:r>
    </w:p>
    <w:p w14:paraId="1EECF31B" w14:textId="1B3371C1" w:rsidR="007103FB" w:rsidRDefault="0023042A" w:rsidP="007103FB">
      <w:pPr>
        <w:pStyle w:val="ListParagraph"/>
        <w:widowControl/>
        <w:numPr>
          <w:ilvl w:val="0"/>
          <w:numId w:val="26"/>
        </w:numPr>
        <w:spacing w:before="120" w:after="120"/>
        <w:ind w:left="567" w:hanging="567"/>
        <w:contextualSpacing w:val="0"/>
      </w:pPr>
      <w:r>
        <w:t xml:space="preserve">Prohibit health claims on electrolyte drinks, </w:t>
      </w:r>
      <w:r w:rsidRPr="00247605">
        <w:t xml:space="preserve">including self-substantiated </w:t>
      </w:r>
      <w:r>
        <w:t xml:space="preserve">health </w:t>
      </w:r>
      <w:r w:rsidRPr="00247605">
        <w:t>claims</w:t>
      </w:r>
      <w:r>
        <w:t xml:space="preserve">, other than </w:t>
      </w:r>
      <w:r w:rsidR="007103FB">
        <w:t>three pre-approved health claims on electrolyte drinks with an average osmolality of 200-340 mOsm/kg</w:t>
      </w:r>
      <w:r w:rsidR="00584BB1">
        <w:t>,</w:t>
      </w:r>
      <w:r w:rsidR="007103FB">
        <w:t xml:space="preserve"> with specific requirements </w:t>
      </w:r>
      <w:r w:rsidR="00584BB1">
        <w:t xml:space="preserve">that the claims </w:t>
      </w:r>
      <w:r w:rsidR="006119E5">
        <w:t>refer to effects occurring under conditions of strenuous physical activity for a minimum time period of 60 minutes to reflect the</w:t>
      </w:r>
      <w:r w:rsidR="007D6E69">
        <w:t>se</w:t>
      </w:r>
      <w:r w:rsidR="00584BB1">
        <w:t xml:space="preserve"> </w:t>
      </w:r>
      <w:r w:rsidR="007D6E69">
        <w:t>products’</w:t>
      </w:r>
      <w:r w:rsidR="006119E5">
        <w:t xml:space="preserve"> intended purpose</w:t>
      </w:r>
      <w:r w:rsidR="00E04992">
        <w:t>.</w:t>
      </w:r>
      <w:r w:rsidR="006119E5">
        <w:t xml:space="preserve"> </w:t>
      </w:r>
    </w:p>
    <w:p w14:paraId="033714AD" w14:textId="1F9FAE04" w:rsidR="007103FB" w:rsidRDefault="00E04992" w:rsidP="007103FB">
      <w:pPr>
        <w:pStyle w:val="ListParagraph"/>
        <w:widowControl/>
        <w:numPr>
          <w:ilvl w:val="0"/>
          <w:numId w:val="26"/>
        </w:numPr>
        <w:spacing w:before="120" w:after="120"/>
        <w:ind w:left="567" w:hanging="567"/>
        <w:contextualSpacing w:val="0"/>
      </w:pPr>
      <w:r>
        <w:t>L</w:t>
      </w:r>
      <w:r w:rsidR="007103FB">
        <w:t xml:space="preserve">imit nutrition content claims </w:t>
      </w:r>
      <w:r w:rsidR="00B74BDC">
        <w:t xml:space="preserve">on </w:t>
      </w:r>
      <w:r w:rsidR="007103FB">
        <w:t>electrolyte drinks to</w:t>
      </w:r>
      <w:r w:rsidR="00D30EE6">
        <w:t xml:space="preserve"> their</w:t>
      </w:r>
      <w:r w:rsidR="007103FB">
        <w:t xml:space="preserve"> compositional constituents: carbohydrate; sugar or sugars</w:t>
      </w:r>
      <w:r w:rsidR="00D30EE6">
        <w:t>; energy; and/or electrolytes (</w:t>
      </w:r>
      <w:r w:rsidR="007103FB">
        <w:t>calcium, sodium, magnesium, potassium and chloride</w:t>
      </w:r>
      <w:r w:rsidR="00D30EE6">
        <w:t>)</w:t>
      </w:r>
      <w:r w:rsidR="007103FB">
        <w:t xml:space="preserve"> to reflect the</w:t>
      </w:r>
      <w:r w:rsidR="007D6E69">
        <w:t>se</w:t>
      </w:r>
      <w:r w:rsidR="00584BB1">
        <w:t xml:space="preserve"> </w:t>
      </w:r>
      <w:r w:rsidR="007D6E69">
        <w:t>products’</w:t>
      </w:r>
      <w:r w:rsidR="007103FB">
        <w:t xml:space="preserve"> intended purpose and reduce the potential for consumers to be misled</w:t>
      </w:r>
      <w:r>
        <w:t>.</w:t>
      </w:r>
    </w:p>
    <w:p w14:paraId="7320D75C" w14:textId="7E9DC84D" w:rsidR="007103FB" w:rsidRDefault="00E04992" w:rsidP="007103FB">
      <w:pPr>
        <w:pStyle w:val="ListParagraph"/>
        <w:widowControl/>
        <w:numPr>
          <w:ilvl w:val="0"/>
          <w:numId w:val="26"/>
        </w:numPr>
        <w:spacing w:before="120" w:after="120"/>
        <w:ind w:left="567" w:hanging="567"/>
        <w:contextualSpacing w:val="0"/>
      </w:pPr>
      <w:r>
        <w:t>P</w:t>
      </w:r>
      <w:r w:rsidR="007103FB">
        <w:t>rohibit % Recommended Dietary Intake (%RDI) declarations on electrolyte drinks to d</w:t>
      </w:r>
      <w:r w:rsidR="00D30EE6">
        <w:t>ifferentiate</w:t>
      </w:r>
      <w:r w:rsidR="007103FB">
        <w:t xml:space="preserve"> </w:t>
      </w:r>
      <w:r w:rsidR="00D30EE6">
        <w:t xml:space="preserve">the addition of </w:t>
      </w:r>
      <w:r w:rsidR="007103FB">
        <w:t>calcium and</w:t>
      </w:r>
      <w:r w:rsidR="00D30EE6">
        <w:t>/or</w:t>
      </w:r>
      <w:r w:rsidR="007103FB">
        <w:t xml:space="preserve"> magnesium </w:t>
      </w:r>
      <w:r w:rsidR="00D30EE6">
        <w:t xml:space="preserve">to </w:t>
      </w:r>
      <w:r w:rsidR="007103FB">
        <w:t>function as electrolytes not minerals</w:t>
      </w:r>
      <w:r>
        <w:t>.</w:t>
      </w:r>
    </w:p>
    <w:p w14:paraId="4DF2CC33" w14:textId="07924C6E" w:rsidR="007103FB" w:rsidRDefault="00E04992" w:rsidP="007103FB">
      <w:pPr>
        <w:pStyle w:val="ListParagraph"/>
        <w:widowControl/>
        <w:numPr>
          <w:ilvl w:val="0"/>
          <w:numId w:val="26"/>
        </w:numPr>
        <w:spacing w:before="120" w:after="120"/>
        <w:ind w:left="567" w:hanging="567"/>
        <w:contextualSpacing w:val="0"/>
      </w:pPr>
      <w:r>
        <w:t>A</w:t>
      </w:r>
      <w:r w:rsidR="007103FB">
        <w:t>mend the units of osmolality to ‘per kilogram’ for compositional requirements, while retaining current labelling declaration unit requirements using ‘per litre’</w:t>
      </w:r>
      <w:r>
        <w:t>.</w:t>
      </w:r>
      <w:r w:rsidR="007103FB">
        <w:t xml:space="preserve"> </w:t>
      </w:r>
    </w:p>
    <w:p w14:paraId="7834545B" w14:textId="1B26ECEB" w:rsidR="00D30EE6" w:rsidRPr="00D30EE6" w:rsidRDefault="00E04992" w:rsidP="007103FB">
      <w:pPr>
        <w:pStyle w:val="ListParagraph"/>
        <w:widowControl/>
        <w:numPr>
          <w:ilvl w:val="0"/>
          <w:numId w:val="26"/>
        </w:numPr>
        <w:spacing w:before="120" w:after="120"/>
        <w:ind w:left="567" w:hanging="567"/>
        <w:contextualSpacing w:val="0"/>
      </w:pPr>
      <w:r>
        <w:rPr>
          <w:rFonts w:cs="Arial"/>
          <w:lang w:val="en-AU"/>
        </w:rPr>
        <w:lastRenderedPageBreak/>
        <w:t>I</w:t>
      </w:r>
      <w:r w:rsidR="007103FB" w:rsidRPr="009E5422">
        <w:rPr>
          <w:rFonts w:cs="Arial"/>
          <w:lang w:val="en-AU"/>
        </w:rPr>
        <w:t xml:space="preserve">nclude a </w:t>
      </w:r>
      <w:r w:rsidR="007103FB">
        <w:rPr>
          <w:rFonts w:cs="Arial"/>
          <w:lang w:val="en-AU"/>
        </w:rPr>
        <w:t>two year transition period to allow for the long shelf</w:t>
      </w:r>
      <w:r w:rsidR="00B74BDC">
        <w:rPr>
          <w:rFonts w:cs="Arial"/>
          <w:lang w:val="en-AU"/>
        </w:rPr>
        <w:t>-</w:t>
      </w:r>
      <w:r w:rsidR="007103FB">
        <w:rPr>
          <w:rFonts w:cs="Arial"/>
          <w:lang w:val="en-AU"/>
        </w:rPr>
        <w:t>life of electrolyte drinks</w:t>
      </w:r>
      <w:r w:rsidR="00D30EE6">
        <w:rPr>
          <w:rFonts w:cs="Arial"/>
          <w:lang w:val="en-AU"/>
        </w:rPr>
        <w:t>,</w:t>
      </w:r>
      <w:r w:rsidR="007103FB">
        <w:rPr>
          <w:rFonts w:cs="Arial"/>
          <w:lang w:val="en-AU"/>
        </w:rPr>
        <w:t xml:space="preserve"> and to assist manufacturers to ready themselves to comply with the new requirements. </w:t>
      </w:r>
    </w:p>
    <w:p w14:paraId="2A2710C7" w14:textId="0FDB42FD" w:rsidR="00FF2025" w:rsidRDefault="00FF2025" w:rsidP="007103FB">
      <w:pPr>
        <w:widowControl/>
        <w:spacing w:before="120" w:after="120"/>
      </w:pPr>
      <w:r>
        <w:t>In summary, t</w:t>
      </w:r>
      <w:r w:rsidRPr="00E94EA6">
        <w:t>he amendment</w:t>
      </w:r>
      <w:r>
        <w:t>s aim</w:t>
      </w:r>
      <w:r w:rsidRPr="00E94EA6">
        <w:t xml:space="preserve"> to provide regulatory clarity</w:t>
      </w:r>
      <w:r w:rsidR="00750CE8">
        <w:t xml:space="preserve">, </w:t>
      </w:r>
      <w:r>
        <w:t>support</w:t>
      </w:r>
      <w:r w:rsidRPr="00E94EA6">
        <w:t xml:space="preserve"> product innovation</w:t>
      </w:r>
      <w:r>
        <w:t xml:space="preserve"> </w:t>
      </w:r>
      <w:r w:rsidR="00D8355D">
        <w:t xml:space="preserve">for </w:t>
      </w:r>
      <w:r>
        <w:t xml:space="preserve">the </w:t>
      </w:r>
      <w:r w:rsidRPr="00E94EA6">
        <w:t>electrolyte drink</w:t>
      </w:r>
      <w:r>
        <w:t>s</w:t>
      </w:r>
      <w:r w:rsidRPr="00E94EA6">
        <w:t xml:space="preserve"> </w:t>
      </w:r>
      <w:r>
        <w:t>category with</w:t>
      </w:r>
      <w:r w:rsidRPr="00E94EA6">
        <w:t xml:space="preserve">in the Australia and New Zealand </w:t>
      </w:r>
      <w:r>
        <w:t>market</w:t>
      </w:r>
      <w:r w:rsidR="00750CE8">
        <w:t xml:space="preserve"> and </w:t>
      </w:r>
      <w:r w:rsidR="00AC70B4">
        <w:t>will</w:t>
      </w:r>
      <w:r w:rsidR="00B74BDC" w:rsidRPr="00E94EA6">
        <w:t xml:space="preserve"> </w:t>
      </w:r>
      <w:r w:rsidR="00750CE8">
        <w:t>better enable</w:t>
      </w:r>
      <w:r w:rsidR="00D8355D">
        <w:t xml:space="preserve"> consumers to make</w:t>
      </w:r>
      <w:r>
        <w:t xml:space="preserve"> informed choices. </w:t>
      </w:r>
      <w:r w:rsidRPr="00E94EA6">
        <w:t xml:space="preserve">The </w:t>
      </w:r>
      <w:r w:rsidR="00E43204">
        <w:t>amendments</w:t>
      </w:r>
      <w:r w:rsidRPr="00E94EA6">
        <w:t xml:space="preserve"> also </w:t>
      </w:r>
      <w:r>
        <w:t xml:space="preserve">reflect current public health policy to reduce the amount of sugar contained in </w:t>
      </w:r>
      <w:r w:rsidR="00182945">
        <w:t xml:space="preserve">sugar </w:t>
      </w:r>
      <w:r>
        <w:t>sweetened beverages.</w:t>
      </w:r>
    </w:p>
    <w:p w14:paraId="19AB8D36" w14:textId="28A2B437" w:rsidR="007103FB" w:rsidRDefault="007103FB" w:rsidP="007103FB">
      <w:pPr>
        <w:widowControl/>
        <w:spacing w:before="120" w:after="120"/>
      </w:pPr>
      <w:r>
        <w:t xml:space="preserve">FSANZ considers the above approach, specifically in relation to nutrition content </w:t>
      </w:r>
      <w:r w:rsidR="00750FA9">
        <w:t xml:space="preserve">and health </w:t>
      </w:r>
      <w:r>
        <w:t xml:space="preserve">claims, </w:t>
      </w:r>
      <w:r w:rsidR="007032D8">
        <w:t xml:space="preserve">is consistent with </w:t>
      </w:r>
      <w:r>
        <w:t>its assessment of the scientific evidence (Supporting Document 1</w:t>
      </w:r>
      <w:r w:rsidR="001223AA">
        <w:t xml:space="preserve">), relevant European Union </w:t>
      </w:r>
      <w:r>
        <w:t xml:space="preserve">claim permissions (Appendix 1) and European Food Safety Authority opinions on health claims. </w:t>
      </w:r>
    </w:p>
    <w:p w14:paraId="65550105" w14:textId="06B96F92" w:rsidR="00E25874" w:rsidRDefault="007103FB" w:rsidP="00E25874">
      <w:pPr>
        <w:widowControl/>
        <w:spacing w:before="120" w:after="120"/>
      </w:pPr>
      <w:r>
        <w:t>Standard 2.6.2 will</w:t>
      </w:r>
      <w:r w:rsidRPr="00BB1A70">
        <w:t xml:space="preserve"> continue to regulate electrolyte drinks. </w:t>
      </w:r>
      <w:r>
        <w:t>Transferring</w:t>
      </w:r>
      <w:r w:rsidRPr="00BB1A70">
        <w:t xml:space="preserve"> the provisions that regulate electrolyte drinks from Standard 2.6.2 to </w:t>
      </w:r>
      <w:r w:rsidR="00E43204">
        <w:t xml:space="preserve">Standard </w:t>
      </w:r>
      <w:r w:rsidRPr="00BB1A70">
        <w:t xml:space="preserve">2.9.4 of the Code </w:t>
      </w:r>
      <w:r w:rsidR="00E43204">
        <w:t>will</w:t>
      </w:r>
      <w:r>
        <w:t xml:space="preserve">, if required, </w:t>
      </w:r>
      <w:r w:rsidRPr="00BB1A70">
        <w:t xml:space="preserve">be </w:t>
      </w:r>
      <w:r>
        <w:t xml:space="preserve">further </w:t>
      </w:r>
      <w:r w:rsidRPr="00BB1A70">
        <w:t xml:space="preserve">considered in Proposal P1010 – </w:t>
      </w:r>
      <w:r w:rsidRPr="007C1F05">
        <w:rPr>
          <w:i/>
        </w:rPr>
        <w:t>Review of Formulated Supplementary Sports Foods.</w:t>
      </w:r>
    </w:p>
    <w:p w14:paraId="742F6391" w14:textId="2F913311" w:rsidR="00C836FF" w:rsidRDefault="00C836FF" w:rsidP="00A4171C">
      <w:r>
        <w:br w:type="page"/>
      </w:r>
    </w:p>
    <w:p w14:paraId="590B94CE" w14:textId="763196E2" w:rsidR="007A53BF" w:rsidRPr="007A53BF" w:rsidRDefault="007A53BF" w:rsidP="00CE59AA">
      <w:pPr>
        <w:pStyle w:val="Heading1"/>
      </w:pPr>
      <w:bookmarkStart w:id="12" w:name="_Toc300933417"/>
      <w:bookmarkStart w:id="13" w:name="_Toc370223464"/>
      <w:bookmarkStart w:id="14" w:name="_Toc100829753"/>
      <w:bookmarkStart w:id="15" w:name="_Toc103090795"/>
      <w:bookmarkStart w:id="16" w:name="_Toc103197687"/>
      <w:r w:rsidRPr="007A53BF">
        <w:lastRenderedPageBreak/>
        <w:t>1</w:t>
      </w:r>
      <w:r w:rsidRPr="007A53BF">
        <w:tab/>
        <w:t>Introduction</w:t>
      </w:r>
      <w:bookmarkStart w:id="17" w:name="_Toc300761890"/>
      <w:bookmarkStart w:id="18" w:name="_Toc300933419"/>
      <w:bookmarkStart w:id="19" w:name="_Toc370223465"/>
      <w:bookmarkEnd w:id="12"/>
      <w:bookmarkEnd w:id="13"/>
      <w:bookmarkEnd w:id="14"/>
      <w:bookmarkEnd w:id="15"/>
      <w:bookmarkEnd w:id="16"/>
      <w:bookmarkEnd w:id="17"/>
      <w:bookmarkEnd w:id="18"/>
      <w:bookmarkEnd w:id="19"/>
    </w:p>
    <w:p w14:paraId="2C5888AA" w14:textId="050115D3" w:rsidR="007A53BF" w:rsidRPr="007D1044" w:rsidRDefault="007A53BF" w:rsidP="007B4B2D">
      <w:pPr>
        <w:pStyle w:val="Heading2"/>
        <w:spacing w:after="120"/>
      </w:pPr>
      <w:bookmarkStart w:id="20" w:name="_Toc100829754"/>
      <w:bookmarkStart w:id="21" w:name="_Toc103090796"/>
      <w:bookmarkStart w:id="22" w:name="_Toc103197688"/>
      <w:r w:rsidRPr="007A53BF">
        <w:t>1.1</w:t>
      </w:r>
      <w:r w:rsidRPr="007A53BF">
        <w:tab/>
      </w:r>
      <w:r w:rsidR="00F647AE">
        <w:t>Proposal background</w:t>
      </w:r>
      <w:bookmarkEnd w:id="20"/>
      <w:bookmarkEnd w:id="21"/>
      <w:bookmarkEnd w:id="22"/>
      <w:r w:rsidRPr="007A53BF">
        <w:t xml:space="preserve"> </w:t>
      </w:r>
    </w:p>
    <w:p w14:paraId="7353B16E" w14:textId="68B10FCB" w:rsidR="00F647AE" w:rsidRPr="00436F46" w:rsidRDefault="002E691F" w:rsidP="00F647AE">
      <w:r>
        <w:t>Food Standards Australia New Zealand (</w:t>
      </w:r>
      <w:r w:rsidR="00F647AE" w:rsidRPr="006F37D8">
        <w:t>FSANZ</w:t>
      </w:r>
      <w:r>
        <w:t>)</w:t>
      </w:r>
      <w:r w:rsidR="00F647AE" w:rsidRPr="006F37D8">
        <w:t xml:space="preserve"> originally prepared </w:t>
      </w:r>
      <w:r w:rsidR="00F647AE">
        <w:t>Proposal P1030</w:t>
      </w:r>
      <w:r w:rsidR="00F647AE" w:rsidRPr="006F37D8">
        <w:t xml:space="preserve"> in 2014 after gazettal of Standard 1.2.7</w:t>
      </w:r>
      <w:r w:rsidR="00F647AE">
        <w:t xml:space="preserve"> –</w:t>
      </w:r>
      <w:r w:rsidR="00E049DE">
        <w:t xml:space="preserve"> Nutrition, Health and Related Cl</w:t>
      </w:r>
      <w:r w:rsidR="00F647AE">
        <w:t>aims</w:t>
      </w:r>
      <w:r w:rsidR="009B4D71">
        <w:t xml:space="preserve"> of the Australia New Zealand Food Standard Code (the Code)</w:t>
      </w:r>
      <w:r w:rsidR="00F647AE">
        <w:t>. P1030 sought</w:t>
      </w:r>
      <w:r w:rsidR="00F647AE" w:rsidRPr="006F37D8">
        <w:t xml:space="preserve"> </w:t>
      </w:r>
      <w:r w:rsidR="00F647AE" w:rsidRPr="000A4218">
        <w:t>to permit formulated supplementary sports foods (FSSF), electrolyte drinks and electrolyte drink bases</w:t>
      </w:r>
      <w:r w:rsidR="00F647AE">
        <w:rPr>
          <w:rStyle w:val="FootnoteReference"/>
        </w:rPr>
        <w:footnoteReference w:id="3"/>
      </w:r>
      <w:r w:rsidR="00F647AE" w:rsidRPr="000A4218">
        <w:t xml:space="preserve"> to carry health claims consistent with their intended purpose related to </w:t>
      </w:r>
      <w:r w:rsidR="00F647AE">
        <w:t xml:space="preserve">strenuous </w:t>
      </w:r>
      <w:r w:rsidR="00F647AE" w:rsidRPr="000A4218">
        <w:t xml:space="preserve">physical </w:t>
      </w:r>
      <w:r w:rsidR="00F647AE">
        <w:t>activity</w:t>
      </w:r>
      <w:r w:rsidR="00F647AE" w:rsidRPr="00436F46">
        <w:t xml:space="preserve">. </w:t>
      </w:r>
    </w:p>
    <w:p w14:paraId="6CCABF6C" w14:textId="65139C98" w:rsidR="00F647AE" w:rsidRDefault="00F647AE" w:rsidP="00F647AE">
      <w:pPr>
        <w:spacing w:before="120" w:after="120"/>
      </w:pPr>
      <w:r w:rsidRPr="00436F46">
        <w:t>With the introduction of Standard 1.2.7</w:t>
      </w:r>
      <w:r w:rsidR="00A255B2" w:rsidRPr="00436F46">
        <w:t xml:space="preserve"> </w:t>
      </w:r>
      <w:r w:rsidRPr="00436F46">
        <w:t>most foods were permitted to carry health claims</w:t>
      </w:r>
      <w:r w:rsidRPr="006F37D8">
        <w:t>, including claims about physical performance, providing certain claim criteria were met. However, this was not the case for FSSF and most</w:t>
      </w:r>
      <w:r>
        <w:t xml:space="preserve"> electrolyte drinks </w:t>
      </w:r>
      <w:r w:rsidRPr="006F37D8">
        <w:t xml:space="preserve">which, for different reasons, were limited to one or more claims in Standard 2.9.4 </w:t>
      </w:r>
      <w:r w:rsidR="00E049DE">
        <w:t>– Formulated Supplementary Sports F</w:t>
      </w:r>
      <w:r>
        <w:t>oods or</w:t>
      </w:r>
      <w:r w:rsidRPr="006F37D8">
        <w:t xml:space="preserve"> Standard 2.6.2 </w:t>
      </w:r>
      <w:r>
        <w:t>– Non-alcoholic Beverages and Brewed Soft Drinks, r</w:t>
      </w:r>
      <w:r w:rsidRPr="006F37D8">
        <w:t>espectively.</w:t>
      </w:r>
      <w:r>
        <w:t xml:space="preserve"> </w:t>
      </w:r>
    </w:p>
    <w:p w14:paraId="391E72D1" w14:textId="39E16FC4" w:rsidR="00F647AE" w:rsidRPr="006F37D8" w:rsidRDefault="00F647AE" w:rsidP="00F647AE">
      <w:pPr>
        <w:spacing w:before="120" w:after="120"/>
        <w:rPr>
          <w:b/>
        </w:rPr>
      </w:pPr>
      <w:r>
        <w:t xml:space="preserve">Electrolyte drinks </w:t>
      </w:r>
      <w:r w:rsidRPr="006F37D8">
        <w:t xml:space="preserve">were </w:t>
      </w:r>
      <w:r>
        <w:t xml:space="preserve">also </w:t>
      </w:r>
      <w:r w:rsidRPr="006F37D8">
        <w:t>proposed to be transferred to Standard 2.9.4</w:t>
      </w:r>
      <w:r>
        <w:t xml:space="preserve"> in recognition of </w:t>
      </w:r>
      <w:r w:rsidRPr="006F37D8">
        <w:t xml:space="preserve">the product’s special purpose </w:t>
      </w:r>
      <w:r>
        <w:t xml:space="preserve">as set out in </w:t>
      </w:r>
      <w:r w:rsidRPr="006F37D8">
        <w:t>its regulatory definition</w:t>
      </w:r>
      <w:r>
        <w:t>,</w:t>
      </w:r>
      <w:r w:rsidRPr="006F37D8">
        <w:t xml:space="preserve"> while noting it was a </w:t>
      </w:r>
      <w:r>
        <w:t>preliminary</w:t>
      </w:r>
      <w:r w:rsidRPr="006F37D8">
        <w:t xml:space="preserve"> step </w:t>
      </w:r>
      <w:r>
        <w:t>before</w:t>
      </w:r>
      <w:r w:rsidRPr="006F37D8">
        <w:t xml:space="preserve"> the broader future review of Standard 2.9.4</w:t>
      </w:r>
      <w:r>
        <w:t xml:space="preserve"> (now being undertaken as Proposal P1010 </w:t>
      </w:r>
      <w:r>
        <w:rPr>
          <w:lang w:bidi="ar-SA"/>
        </w:rPr>
        <w:t xml:space="preserve">– </w:t>
      </w:r>
      <w:r w:rsidRPr="009D2A89">
        <w:rPr>
          <w:i/>
          <w:lang w:bidi="ar-SA"/>
        </w:rPr>
        <w:t>Review of Formulated Supplementary Sports Foods</w:t>
      </w:r>
      <w:r>
        <w:rPr>
          <w:rStyle w:val="FootnoteReference"/>
        </w:rPr>
        <w:footnoteReference w:id="4"/>
      </w:r>
      <w:r w:rsidRPr="003D1E2B">
        <w:rPr>
          <w:vertAlign w:val="superscript"/>
        </w:rPr>
        <w:t>,</w:t>
      </w:r>
      <w:r>
        <w:rPr>
          <w:rStyle w:val="FootnoteReference"/>
        </w:rPr>
        <w:footnoteReference w:id="5"/>
      </w:r>
      <w:r>
        <w:t>)</w:t>
      </w:r>
      <w:r w:rsidRPr="006F37D8">
        <w:t>.</w:t>
      </w:r>
    </w:p>
    <w:p w14:paraId="60279B02" w14:textId="77777777" w:rsidR="00F647AE" w:rsidRPr="004E00E6" w:rsidRDefault="00F647AE" w:rsidP="00F647AE">
      <w:pPr>
        <w:widowControl/>
      </w:pPr>
      <w:r>
        <w:t>In summary, P1030</w:t>
      </w:r>
      <w:r w:rsidRPr="004E00E6">
        <w:t xml:space="preserve"> was </w:t>
      </w:r>
      <w:r>
        <w:t xml:space="preserve">originally </w:t>
      </w:r>
      <w:r w:rsidRPr="004E00E6">
        <w:t>prepared to</w:t>
      </w:r>
      <w:r>
        <w:t xml:space="preserve"> assess whether to</w:t>
      </w:r>
      <w:r w:rsidRPr="004E00E6">
        <w:t>:</w:t>
      </w:r>
    </w:p>
    <w:p w14:paraId="6A7288D2" w14:textId="77777777" w:rsidR="00F647AE" w:rsidRPr="003B1807" w:rsidRDefault="00F647AE" w:rsidP="002537E1">
      <w:pPr>
        <w:pStyle w:val="FSBullet1"/>
        <w:numPr>
          <w:ilvl w:val="0"/>
          <w:numId w:val="5"/>
        </w:numPr>
        <w:spacing w:before="120" w:after="120"/>
        <w:ind w:left="567" w:hanging="567"/>
      </w:pPr>
      <w:r w:rsidRPr="008B37BD">
        <w:t>permit</w:t>
      </w:r>
      <w:r w:rsidRPr="003B1807">
        <w:t xml:space="preserve"> FSSF</w:t>
      </w:r>
      <w:r>
        <w:t xml:space="preserve"> and electrolyte drinks </w:t>
      </w:r>
      <w:r w:rsidRPr="003B1807">
        <w:t>to carry health claims consistent with their respective intended purpose and in accordance with Standard 1.2.7, noting that the minimum composition of</w:t>
      </w:r>
      <w:r>
        <w:t xml:space="preserve"> electrolyte drinks prevented</w:t>
      </w:r>
      <w:r w:rsidRPr="003B1807">
        <w:t xml:space="preserve"> most </w:t>
      </w:r>
      <w:r>
        <w:t xml:space="preserve">of </w:t>
      </w:r>
      <w:r w:rsidRPr="003B1807">
        <w:t xml:space="preserve">them </w:t>
      </w:r>
      <w:r>
        <w:t xml:space="preserve">from passing </w:t>
      </w:r>
      <w:r w:rsidRPr="003B1807">
        <w:t>the Nutrient Profile Scoring Criterion</w:t>
      </w:r>
      <w:r>
        <w:t xml:space="preserve"> (NPSC) and thus making them </w:t>
      </w:r>
      <w:r w:rsidRPr="003B1807">
        <w:t xml:space="preserve">ineligible to make health claims </w:t>
      </w:r>
    </w:p>
    <w:p w14:paraId="46F7CC1C" w14:textId="38D164E6" w:rsidR="00F647AE" w:rsidRPr="003B1807" w:rsidRDefault="00F647AE" w:rsidP="002537E1">
      <w:pPr>
        <w:pStyle w:val="FSBullet1"/>
        <w:numPr>
          <w:ilvl w:val="0"/>
          <w:numId w:val="5"/>
        </w:numPr>
        <w:spacing w:before="120" w:after="120"/>
        <w:ind w:left="567" w:hanging="567"/>
      </w:pPr>
      <w:r w:rsidRPr="008B37BD">
        <w:t>transfer</w:t>
      </w:r>
      <w:r w:rsidRPr="003B1807">
        <w:t xml:space="preserve"> the regulation of</w:t>
      </w:r>
      <w:r>
        <w:t xml:space="preserve"> electrolyte drinks </w:t>
      </w:r>
      <w:r w:rsidRPr="003B1807">
        <w:t>from Standard 2.6.2</w:t>
      </w:r>
      <w:r>
        <w:t xml:space="preserve"> </w:t>
      </w:r>
      <w:r w:rsidRPr="003B1807">
        <w:t>to Standard 2.9.4</w:t>
      </w:r>
      <w:r>
        <w:t>,</w:t>
      </w:r>
      <w:r w:rsidRPr="003B1807">
        <w:t xml:space="preserve"> </w:t>
      </w:r>
      <w:r>
        <w:t>given both food categories were for a similar purpose and the NPSC does not apply to special purpose foods, such as FSSF</w:t>
      </w:r>
    </w:p>
    <w:p w14:paraId="2B5E36A0" w14:textId="3DC50BFE" w:rsidR="00F647AE" w:rsidRDefault="00F647AE" w:rsidP="002537E1">
      <w:pPr>
        <w:pStyle w:val="FSBullet1"/>
        <w:numPr>
          <w:ilvl w:val="0"/>
          <w:numId w:val="5"/>
        </w:numPr>
        <w:spacing w:before="120" w:after="120"/>
        <w:ind w:left="567" w:hanging="567"/>
      </w:pPr>
      <w:r w:rsidRPr="008B37BD">
        <w:t>make</w:t>
      </w:r>
      <w:r>
        <w:t xml:space="preserve"> o</w:t>
      </w:r>
      <w:r w:rsidRPr="003B1807">
        <w:t xml:space="preserve">ther minor amendments to improve the consistency of </w:t>
      </w:r>
      <w:r>
        <w:t xml:space="preserve">the </w:t>
      </w:r>
      <w:r w:rsidRPr="003B1807">
        <w:t>regulation of</w:t>
      </w:r>
      <w:r>
        <w:t xml:space="preserve"> electrolyte drinks </w:t>
      </w:r>
      <w:r w:rsidRPr="003B1807">
        <w:t>in the</w:t>
      </w:r>
      <w:r w:rsidR="009B4D71">
        <w:t xml:space="preserve"> Code</w:t>
      </w:r>
      <w:r w:rsidRPr="003B1807">
        <w:t>.</w:t>
      </w:r>
    </w:p>
    <w:p w14:paraId="5B7FB5D3" w14:textId="24E06354" w:rsidR="007A53BF" w:rsidRPr="007A53BF" w:rsidRDefault="00F647AE" w:rsidP="007A53BF">
      <w:pPr>
        <w:rPr>
          <w:color w:val="00B050"/>
        </w:rPr>
      </w:pPr>
      <w:r w:rsidRPr="00C97F89">
        <w:t xml:space="preserve">FSANZ </w:t>
      </w:r>
      <w:r w:rsidR="00A27160">
        <w:t>assessed the P</w:t>
      </w:r>
      <w:r>
        <w:t xml:space="preserve">roposal in 2014 and then prepared a draft variation to </w:t>
      </w:r>
      <w:r w:rsidRPr="00BB1A70">
        <w:rPr>
          <w:szCs w:val="22"/>
        </w:rPr>
        <w:t xml:space="preserve">the </w:t>
      </w:r>
      <w:r w:rsidRPr="007522B0">
        <w:rPr>
          <w:szCs w:val="22"/>
        </w:rPr>
        <w:t>Code</w:t>
      </w:r>
      <w:r w:rsidRPr="00BB1A70">
        <w:rPr>
          <w:i/>
          <w:szCs w:val="22"/>
        </w:rPr>
        <w:t xml:space="preserve"> </w:t>
      </w:r>
      <w:r>
        <w:rPr>
          <w:szCs w:val="22"/>
        </w:rPr>
        <w:t>that would</w:t>
      </w:r>
      <w:r w:rsidRPr="00BB1A70">
        <w:rPr>
          <w:szCs w:val="22"/>
        </w:rPr>
        <w:t xml:space="preserve"> give effect to the above</w:t>
      </w:r>
      <w:r>
        <w:rPr>
          <w:szCs w:val="22"/>
        </w:rPr>
        <w:t xml:space="preserve"> aims or outcomes</w:t>
      </w:r>
      <w:r w:rsidRPr="00BB1A70">
        <w:rPr>
          <w:szCs w:val="22"/>
        </w:rPr>
        <w:t>.</w:t>
      </w:r>
      <w:r w:rsidRPr="00BB1A70">
        <w:rPr>
          <w:i/>
          <w:szCs w:val="22"/>
        </w:rPr>
        <w:t xml:space="preserve"> </w:t>
      </w:r>
      <w:r w:rsidRPr="00BB1A70">
        <w:rPr>
          <w:szCs w:val="22"/>
        </w:rPr>
        <w:t>FSANZ the</w:t>
      </w:r>
      <w:r>
        <w:t>n iss</w:t>
      </w:r>
      <w:r w:rsidR="00D906AD">
        <w:t>ued a Call for Submissions</w:t>
      </w:r>
      <w:r>
        <w:t xml:space="preserve"> </w:t>
      </w:r>
      <w:r w:rsidR="002E691F">
        <w:t xml:space="preserve"> </w:t>
      </w:r>
      <w:r>
        <w:t>in 2014, seeking submissions on that assessment and draft variation.</w:t>
      </w:r>
    </w:p>
    <w:p w14:paraId="4D6F5836" w14:textId="1E7A5A76" w:rsidR="007A53BF" w:rsidRPr="00F647AE" w:rsidRDefault="007A53BF" w:rsidP="007B4B2D">
      <w:pPr>
        <w:pStyle w:val="Heading2"/>
        <w:spacing w:after="120"/>
      </w:pPr>
      <w:bookmarkStart w:id="23" w:name="_Toc300761891"/>
      <w:bookmarkStart w:id="24" w:name="_Toc300933420"/>
      <w:bookmarkStart w:id="25" w:name="_Toc370223466"/>
      <w:bookmarkStart w:id="26" w:name="_Toc100829755"/>
      <w:bookmarkStart w:id="27" w:name="_Toc103090797"/>
      <w:bookmarkStart w:id="28" w:name="_Toc103197689"/>
      <w:r w:rsidRPr="007A53BF">
        <w:t>1.2</w:t>
      </w:r>
      <w:r w:rsidRPr="007A53BF">
        <w:tab/>
        <w:t xml:space="preserve">The </w:t>
      </w:r>
      <w:bookmarkEnd w:id="23"/>
      <w:r w:rsidR="00F647AE">
        <w:t xml:space="preserve">modified </w:t>
      </w:r>
      <w:r w:rsidRPr="00F647AE">
        <w:t>Proposal</w:t>
      </w:r>
      <w:bookmarkEnd w:id="24"/>
      <w:bookmarkEnd w:id="25"/>
      <w:bookmarkEnd w:id="26"/>
      <w:bookmarkEnd w:id="27"/>
      <w:bookmarkEnd w:id="28"/>
    </w:p>
    <w:p w14:paraId="5E6386FB" w14:textId="2900DAC7" w:rsidR="00F647AE" w:rsidRDefault="00F647AE" w:rsidP="00F647AE">
      <w:pPr>
        <w:widowControl/>
        <w:spacing w:before="120" w:after="120"/>
      </w:pPr>
      <w:r>
        <w:t>The market context ha</w:t>
      </w:r>
      <w:r w:rsidR="00696FA0">
        <w:t>s</w:t>
      </w:r>
      <w:r>
        <w:t xml:space="preserve"> changed</w:t>
      </w:r>
      <w:r w:rsidRPr="006B6A13">
        <w:t xml:space="preserve"> </w:t>
      </w:r>
      <w:r>
        <w:t xml:space="preserve">since the release of the P1030 </w:t>
      </w:r>
      <w:r w:rsidR="002E691F">
        <w:t>C</w:t>
      </w:r>
      <w:r w:rsidR="00D72A1A">
        <w:t>all for Submission</w:t>
      </w:r>
      <w:r w:rsidR="007D1044">
        <w:t>s</w:t>
      </w:r>
      <w:r w:rsidR="00D906AD">
        <w:t xml:space="preserve"> </w:t>
      </w:r>
      <w:r>
        <w:t>in 2014. S</w:t>
      </w:r>
      <w:r w:rsidRPr="00AD53F7">
        <w:t>ome</w:t>
      </w:r>
      <w:r>
        <w:t xml:space="preserve"> electrolyte drink </w:t>
      </w:r>
      <w:r w:rsidRPr="00AD53F7">
        <w:t xml:space="preserve">manufacturers </w:t>
      </w:r>
      <w:r>
        <w:t>ha</w:t>
      </w:r>
      <w:r w:rsidR="00696FA0">
        <w:t>ve</w:t>
      </w:r>
      <w:r w:rsidRPr="00AD53F7">
        <w:t xml:space="preserve"> lowered, or </w:t>
      </w:r>
      <w:r w:rsidR="00B8680E">
        <w:t>a</w:t>
      </w:r>
      <w:r>
        <w:t>re</w:t>
      </w:r>
      <w:r w:rsidRPr="00AD53F7">
        <w:t xml:space="preserve"> seeking to lower, the </w:t>
      </w:r>
      <w:r>
        <w:t>carbohydrate</w:t>
      </w:r>
      <w:r w:rsidRPr="00AD53F7">
        <w:t xml:space="preserve"> content of their</w:t>
      </w:r>
      <w:r>
        <w:t xml:space="preserve"> electrolyte drinks </w:t>
      </w:r>
      <w:r w:rsidRPr="00AD53F7">
        <w:t xml:space="preserve">below the Code’s minimum, but in doing </w:t>
      </w:r>
      <w:r w:rsidR="00640B08" w:rsidRPr="00AD53F7">
        <w:t xml:space="preserve">so </w:t>
      </w:r>
      <w:r w:rsidR="00B8680E">
        <w:t>a</w:t>
      </w:r>
      <w:r>
        <w:t>re</w:t>
      </w:r>
      <w:r w:rsidRPr="00AD53F7">
        <w:t xml:space="preserve"> unable to position these products as </w:t>
      </w:r>
      <w:r>
        <w:t>electrolyte drinks</w:t>
      </w:r>
      <w:r w:rsidRPr="00AD53F7">
        <w:t xml:space="preserve">. </w:t>
      </w:r>
      <w:r>
        <w:t>A num</w:t>
      </w:r>
      <w:r w:rsidR="00D906AD">
        <w:t xml:space="preserve">ber of responses to the 2014 </w:t>
      </w:r>
      <w:r w:rsidR="00D72A1A">
        <w:t>Call for Submission</w:t>
      </w:r>
      <w:r>
        <w:t xml:space="preserve"> </w:t>
      </w:r>
      <w:r w:rsidRPr="00AD53F7">
        <w:t>also argue</w:t>
      </w:r>
      <w:r>
        <w:t>d</w:t>
      </w:r>
      <w:r w:rsidRPr="00AD53F7">
        <w:t xml:space="preserve"> </w:t>
      </w:r>
      <w:r>
        <w:t xml:space="preserve">the </w:t>
      </w:r>
      <w:r w:rsidRPr="00AD53F7">
        <w:t xml:space="preserve">compositional requirements </w:t>
      </w:r>
      <w:r>
        <w:t>were</w:t>
      </w:r>
      <w:r w:rsidRPr="00AD53F7">
        <w:t xml:space="preserve"> outdated and </w:t>
      </w:r>
      <w:r>
        <w:t>did</w:t>
      </w:r>
      <w:r w:rsidRPr="00AD53F7">
        <w:t xml:space="preserve"> not reflect the most up-to-date scientific evidence. </w:t>
      </w:r>
      <w:r>
        <w:t>In addition, the Food Ministers’ Meeting</w:t>
      </w:r>
      <w:r>
        <w:rPr>
          <w:rStyle w:val="FootnoteReference"/>
        </w:rPr>
        <w:footnoteReference w:id="6"/>
      </w:r>
      <w:r>
        <w:t xml:space="preserve"> had requested FSANZ review Standard 2.9.4</w:t>
      </w:r>
      <w:r w:rsidRPr="00A51528">
        <w:t xml:space="preserve"> </w:t>
      </w:r>
      <w:r>
        <w:t>as a priority, for which FSANZ has prepared Proposal P1010</w:t>
      </w:r>
      <w:r w:rsidRPr="00B13222">
        <w:t>.</w:t>
      </w:r>
    </w:p>
    <w:p w14:paraId="2B3E38BB" w14:textId="4ADE1DE0" w:rsidR="00F647AE" w:rsidRDefault="00F647AE" w:rsidP="00F647AE">
      <w:pPr>
        <w:widowControl/>
        <w:spacing w:before="120" w:after="120"/>
      </w:pPr>
      <w:r w:rsidRPr="00694AC8">
        <w:lastRenderedPageBreak/>
        <w:t xml:space="preserve">Given these contextual changes, </w:t>
      </w:r>
      <w:r>
        <w:t xml:space="preserve">and after considering submissions received in response to the 2014 </w:t>
      </w:r>
      <w:r w:rsidR="00D72A1A">
        <w:t>Call for Submission</w:t>
      </w:r>
      <w:r>
        <w:t xml:space="preserve">, </w:t>
      </w:r>
      <w:r w:rsidRPr="00694AC8">
        <w:t xml:space="preserve">FSANZ </w:t>
      </w:r>
      <w:r>
        <w:t>proposed to narrow the</w:t>
      </w:r>
      <w:r w:rsidRPr="00694AC8">
        <w:t xml:space="preserve"> scope and direction of</w:t>
      </w:r>
      <w:r>
        <w:t xml:space="preserve"> Proposal P1030</w:t>
      </w:r>
      <w:r w:rsidRPr="00694AC8">
        <w:t xml:space="preserve">. </w:t>
      </w:r>
      <w:r w:rsidR="002129A9">
        <w:t>A Consultation Paper was released in 2021 which outlined t</w:t>
      </w:r>
      <w:r>
        <w:t>he</w:t>
      </w:r>
      <w:r w:rsidDel="00031F41">
        <w:t xml:space="preserve"> </w:t>
      </w:r>
      <w:r>
        <w:t>key matters under consideration related to composition and labelling requirements for electrolyte drinks</w:t>
      </w:r>
      <w:r w:rsidR="009B4D71">
        <w:t>,</w:t>
      </w:r>
      <w:r>
        <w:t xml:space="preserve"> as well as nutrition content and health claims made about electrolyte drink</w:t>
      </w:r>
      <w:r w:rsidR="001223AA">
        <w:t>s on labels and in advertising.</w:t>
      </w:r>
    </w:p>
    <w:p w14:paraId="0D1326D8" w14:textId="77777777" w:rsidR="00F647AE" w:rsidRDefault="00F647AE" w:rsidP="00F647AE">
      <w:pPr>
        <w:keepNext/>
        <w:widowControl/>
        <w:spacing w:before="120" w:after="120"/>
      </w:pPr>
      <w:r>
        <w:t>Specifically, these matters included:</w:t>
      </w:r>
    </w:p>
    <w:p w14:paraId="32C5D5D5" w14:textId="7D247863" w:rsidR="00F647AE" w:rsidRDefault="00431032" w:rsidP="002537E1">
      <w:pPr>
        <w:pStyle w:val="FSBullet"/>
        <w:numPr>
          <w:ilvl w:val="0"/>
          <w:numId w:val="1"/>
        </w:numPr>
        <w:spacing w:before="120" w:after="120"/>
        <w:ind w:left="567" w:hanging="567"/>
      </w:pPr>
      <w:r>
        <w:t xml:space="preserve">reducing </w:t>
      </w:r>
      <w:r w:rsidR="00F647AE" w:rsidRPr="00D667BE">
        <w:t xml:space="preserve">the minimum </w:t>
      </w:r>
      <w:r w:rsidR="00F647AE">
        <w:t>amount of carbohydrate required in electrolyte drinks</w:t>
      </w:r>
      <w:r>
        <w:t>,</w:t>
      </w:r>
      <w:r w:rsidR="00F647AE">
        <w:t xml:space="preserve"> based on</w:t>
      </w:r>
      <w:r w:rsidR="00F647AE" w:rsidRPr="00D667BE">
        <w:t xml:space="preserve"> scientific evidence</w:t>
      </w:r>
      <w:r w:rsidR="00475EAD">
        <w:t>, with</w:t>
      </w:r>
      <w:r w:rsidR="00F647AE">
        <w:t xml:space="preserve"> consequential changes to tonicity criteria</w:t>
      </w:r>
      <w:r w:rsidR="00F647AE" w:rsidRPr="00D667BE">
        <w:t xml:space="preserve"> </w:t>
      </w:r>
    </w:p>
    <w:p w14:paraId="2E30735B" w14:textId="3D1AD130" w:rsidR="00F00F08" w:rsidRPr="00EB2F1F" w:rsidRDefault="00F00F08" w:rsidP="00F00F08">
      <w:pPr>
        <w:pStyle w:val="FSBullet"/>
        <w:numPr>
          <w:ilvl w:val="0"/>
          <w:numId w:val="1"/>
        </w:numPr>
        <w:spacing w:before="120" w:after="120"/>
        <w:ind w:left="567" w:hanging="567"/>
      </w:pPr>
      <w:r>
        <w:t>restricting nutrition content claims to reflect the prescribed composition of electrolyte drinks</w:t>
      </w:r>
    </w:p>
    <w:p w14:paraId="6AA90A0B" w14:textId="78DEDB1D" w:rsidR="00F647AE" w:rsidRDefault="00F647AE" w:rsidP="002537E1">
      <w:pPr>
        <w:pStyle w:val="FSBullet"/>
        <w:numPr>
          <w:ilvl w:val="0"/>
          <w:numId w:val="1"/>
        </w:numPr>
        <w:spacing w:before="120" w:after="120"/>
        <w:ind w:left="567" w:hanging="567"/>
      </w:pPr>
      <w:r>
        <w:t xml:space="preserve">prohibiting health claims on electrolyte drinks, </w:t>
      </w:r>
      <w:r w:rsidRPr="00247605">
        <w:t xml:space="preserve">including self-substantiated </w:t>
      </w:r>
      <w:r>
        <w:t xml:space="preserve">health </w:t>
      </w:r>
      <w:r w:rsidRPr="00247605">
        <w:t>claims</w:t>
      </w:r>
      <w:r>
        <w:t xml:space="preserve">, other than for three specific </w:t>
      </w:r>
      <w:r w:rsidR="00B219DD">
        <w:t xml:space="preserve">permitted health </w:t>
      </w:r>
      <w:r>
        <w:t>claims</w:t>
      </w:r>
      <w:r w:rsidR="00F00F08">
        <w:t xml:space="preserve"> </w:t>
      </w:r>
      <w:r w:rsidR="00B219DD" w:rsidRPr="00EF1F52">
        <w:rPr>
          <w:rFonts w:eastAsia="Calibri"/>
          <w:szCs w:val="22"/>
          <w:lang w:bidi="ar-SA"/>
        </w:rPr>
        <w:t>associated with the intended purpose of electrolyte drinks for hydration and maintenance of performance</w:t>
      </w:r>
    </w:p>
    <w:p w14:paraId="1A375FF5" w14:textId="45818E58" w:rsidR="00F647AE" w:rsidRDefault="00F647AE" w:rsidP="002537E1">
      <w:pPr>
        <w:pStyle w:val="FSBullet"/>
        <w:numPr>
          <w:ilvl w:val="0"/>
          <w:numId w:val="1"/>
        </w:numPr>
        <w:spacing w:before="120" w:after="120"/>
        <w:ind w:left="567" w:hanging="567"/>
      </w:pPr>
      <w:r w:rsidDel="00F00F08">
        <w:t>addressing the therapeutic nature of the existing health claim in Standard 2.6.2</w:t>
      </w:r>
    </w:p>
    <w:p w14:paraId="5968EE87" w14:textId="00E4C01D" w:rsidR="00F647AE" w:rsidRDefault="00431032" w:rsidP="002537E1">
      <w:pPr>
        <w:pStyle w:val="FSBullet"/>
        <w:numPr>
          <w:ilvl w:val="0"/>
          <w:numId w:val="1"/>
        </w:numPr>
        <w:spacing w:before="120" w:after="120"/>
        <w:ind w:left="567" w:hanging="567"/>
      </w:pPr>
      <w:r>
        <w:t xml:space="preserve">addressing </w:t>
      </w:r>
      <w:r w:rsidR="00F647AE">
        <w:t xml:space="preserve">FSANZ’s previous commitment to consider two </w:t>
      </w:r>
      <w:r w:rsidR="001223AA">
        <w:t>European Union (</w:t>
      </w:r>
      <w:r w:rsidR="00F647AE">
        <w:t>EU</w:t>
      </w:r>
      <w:r w:rsidR="001223AA">
        <w:t>)</w:t>
      </w:r>
      <w:r w:rsidR="00F647AE">
        <w:t xml:space="preserve"> authorised health claims for ‘carbohydrate electrolyte solutions’</w:t>
      </w:r>
      <w:r w:rsidR="00B219DD">
        <w:t xml:space="preserve"> </w:t>
      </w:r>
      <w:r w:rsidR="0037127C">
        <w:t>for use in Australia and New Zealand</w:t>
      </w:r>
      <w:r w:rsidR="00F647AE">
        <w:t xml:space="preserve">. </w:t>
      </w:r>
    </w:p>
    <w:p w14:paraId="4397F36C" w14:textId="2F8B7904" w:rsidR="007A53BF" w:rsidRPr="00F647AE" w:rsidRDefault="00F647AE" w:rsidP="00F647AE">
      <w:pPr>
        <w:widowControl/>
        <w:spacing w:before="120" w:after="120"/>
        <w:rPr>
          <w:rFonts w:cs="Arial"/>
          <w:szCs w:val="22"/>
        </w:rPr>
      </w:pPr>
      <w:r w:rsidRPr="00804938">
        <w:rPr>
          <w:rFonts w:cs="Arial"/>
          <w:szCs w:val="22"/>
        </w:rPr>
        <w:t xml:space="preserve">Several minor changes, some proposed in 2014, </w:t>
      </w:r>
      <w:r>
        <w:rPr>
          <w:rFonts w:cs="Arial"/>
          <w:szCs w:val="22"/>
        </w:rPr>
        <w:t>were</w:t>
      </w:r>
      <w:r w:rsidRPr="00804938">
        <w:rPr>
          <w:rFonts w:cs="Arial"/>
          <w:szCs w:val="22"/>
        </w:rPr>
        <w:t xml:space="preserve"> further considered </w:t>
      </w:r>
      <w:r w:rsidR="002129A9">
        <w:rPr>
          <w:rFonts w:cs="Arial"/>
          <w:szCs w:val="22"/>
        </w:rPr>
        <w:t>in the 2021 Consultation Paper</w:t>
      </w:r>
      <w:r w:rsidR="00431032">
        <w:rPr>
          <w:rFonts w:cs="Arial"/>
          <w:szCs w:val="22"/>
        </w:rPr>
        <w:t>,</w:t>
      </w:r>
      <w:r w:rsidR="002129A9">
        <w:rPr>
          <w:rFonts w:cs="Arial"/>
          <w:szCs w:val="22"/>
        </w:rPr>
        <w:t xml:space="preserve"> </w:t>
      </w:r>
      <w:r w:rsidRPr="00804938">
        <w:rPr>
          <w:rFonts w:cs="Arial"/>
          <w:szCs w:val="22"/>
        </w:rPr>
        <w:t>including the requirement for a prescribed name and removing the duplication and inconsistency in nutrition labelling requirements betwe</w:t>
      </w:r>
      <w:r w:rsidR="008F3942">
        <w:rPr>
          <w:rFonts w:cs="Arial"/>
          <w:szCs w:val="22"/>
        </w:rPr>
        <w:t xml:space="preserve">en Standards 1.2.8 – Nutrition </w:t>
      </w:r>
      <w:r w:rsidR="00E049DE">
        <w:rPr>
          <w:rFonts w:cs="Arial"/>
          <w:szCs w:val="22"/>
        </w:rPr>
        <w:t>I</w:t>
      </w:r>
      <w:r w:rsidR="008F3942">
        <w:rPr>
          <w:rFonts w:cs="Arial"/>
          <w:szCs w:val="22"/>
        </w:rPr>
        <w:t xml:space="preserve">nformation </w:t>
      </w:r>
      <w:r w:rsidR="00E049DE">
        <w:rPr>
          <w:rFonts w:cs="Arial"/>
          <w:szCs w:val="22"/>
        </w:rPr>
        <w:t>R</w:t>
      </w:r>
      <w:r w:rsidRPr="00804938">
        <w:rPr>
          <w:rFonts w:cs="Arial"/>
          <w:szCs w:val="22"/>
        </w:rPr>
        <w:t xml:space="preserve">equirements and </w:t>
      </w:r>
      <w:r w:rsidR="00020760">
        <w:rPr>
          <w:rFonts w:cs="Arial"/>
          <w:szCs w:val="22"/>
        </w:rPr>
        <w:t xml:space="preserve">Standard </w:t>
      </w:r>
      <w:r w:rsidRPr="00804938">
        <w:rPr>
          <w:rFonts w:cs="Arial"/>
          <w:szCs w:val="22"/>
        </w:rPr>
        <w:t xml:space="preserve">2.6.2. FSANZ </w:t>
      </w:r>
      <w:r w:rsidR="00020760">
        <w:rPr>
          <w:rFonts w:cs="Arial"/>
          <w:szCs w:val="22"/>
        </w:rPr>
        <w:t xml:space="preserve">also </w:t>
      </w:r>
      <w:r>
        <w:rPr>
          <w:rFonts w:cs="Arial"/>
          <w:szCs w:val="22"/>
        </w:rPr>
        <w:t>proposed</w:t>
      </w:r>
      <w:r w:rsidRPr="00804938">
        <w:rPr>
          <w:rFonts w:cs="Arial"/>
          <w:szCs w:val="22"/>
        </w:rPr>
        <w:t xml:space="preserve"> the regulati</w:t>
      </w:r>
      <w:r>
        <w:rPr>
          <w:rFonts w:cs="Arial"/>
          <w:szCs w:val="22"/>
        </w:rPr>
        <w:t>on of electrolyte drinks remain</w:t>
      </w:r>
      <w:r w:rsidRPr="00804938">
        <w:rPr>
          <w:rFonts w:cs="Arial"/>
          <w:szCs w:val="22"/>
        </w:rPr>
        <w:t xml:space="preserve"> </w:t>
      </w:r>
      <w:r>
        <w:rPr>
          <w:rFonts w:cs="Arial"/>
          <w:szCs w:val="22"/>
        </w:rPr>
        <w:t>in Standard 2.6.2</w:t>
      </w:r>
      <w:r w:rsidR="00431032">
        <w:rPr>
          <w:rFonts w:cs="Arial"/>
          <w:szCs w:val="22"/>
        </w:rPr>
        <w:t>, while recognising</w:t>
      </w:r>
      <w:r w:rsidRPr="00804938">
        <w:rPr>
          <w:rFonts w:cs="Arial"/>
          <w:szCs w:val="22"/>
        </w:rPr>
        <w:t xml:space="preserve"> the classification of electrolyte drinks and transfer of these provisions within the Code may be further considered under </w:t>
      </w:r>
      <w:r w:rsidR="00431032">
        <w:rPr>
          <w:rFonts w:cs="Arial"/>
          <w:szCs w:val="22"/>
        </w:rPr>
        <w:t xml:space="preserve">Proposal </w:t>
      </w:r>
      <w:r w:rsidRPr="00804938">
        <w:rPr>
          <w:rFonts w:cs="Arial"/>
          <w:szCs w:val="22"/>
        </w:rPr>
        <w:t>P1010.</w:t>
      </w:r>
    </w:p>
    <w:p w14:paraId="2B51B0EF" w14:textId="637D2917" w:rsidR="00F647AE" w:rsidRPr="00F647AE" w:rsidRDefault="007A53BF" w:rsidP="007B4B2D">
      <w:pPr>
        <w:pStyle w:val="Heading2"/>
        <w:spacing w:after="120"/>
      </w:pPr>
      <w:bookmarkStart w:id="29" w:name="_Toc300761892"/>
      <w:bookmarkStart w:id="30" w:name="_Toc300933421"/>
      <w:bookmarkStart w:id="31" w:name="_Toc370223467"/>
      <w:bookmarkStart w:id="32" w:name="_Toc100829756"/>
      <w:bookmarkStart w:id="33" w:name="_Toc103090798"/>
      <w:bookmarkStart w:id="34" w:name="_Toc103197690"/>
      <w:r w:rsidRPr="007A53BF">
        <w:t>1.3</w:t>
      </w:r>
      <w:r w:rsidRPr="007A53BF">
        <w:tab/>
        <w:t>The current Standard</w:t>
      </w:r>
      <w:bookmarkEnd w:id="29"/>
      <w:bookmarkEnd w:id="30"/>
      <w:bookmarkEnd w:id="31"/>
      <w:r w:rsidR="005E4709">
        <w:t>s</w:t>
      </w:r>
      <w:bookmarkEnd w:id="32"/>
      <w:bookmarkEnd w:id="33"/>
      <w:bookmarkEnd w:id="34"/>
    </w:p>
    <w:p w14:paraId="5CE5E0D3" w14:textId="29C020B1" w:rsidR="00F647AE" w:rsidRPr="00FF5369" w:rsidRDefault="00F647AE" w:rsidP="00FF5369">
      <w:pPr>
        <w:pStyle w:val="Heading3"/>
      </w:pPr>
      <w:bookmarkStart w:id="35" w:name="_Toc63342478"/>
      <w:bookmarkStart w:id="36" w:name="_Toc71711613"/>
      <w:bookmarkStart w:id="37" w:name="_Toc72673547"/>
      <w:bookmarkStart w:id="38" w:name="_Toc100829757"/>
      <w:bookmarkStart w:id="39" w:name="_Toc103090799"/>
      <w:bookmarkStart w:id="40" w:name="_Toc103197691"/>
      <w:r w:rsidRPr="00FF5369">
        <w:t>1.3.1</w:t>
      </w:r>
      <w:r w:rsidRPr="00FF5369">
        <w:tab/>
        <w:t>Standard 2.6.2</w:t>
      </w:r>
      <w:bookmarkEnd w:id="35"/>
      <w:bookmarkEnd w:id="36"/>
      <w:bookmarkEnd w:id="37"/>
      <w:bookmarkEnd w:id="38"/>
      <w:bookmarkEnd w:id="39"/>
      <w:bookmarkEnd w:id="40"/>
    </w:p>
    <w:p w14:paraId="34CCDB1A" w14:textId="77777777" w:rsidR="00F647AE" w:rsidRDefault="00F647AE" w:rsidP="00F647AE">
      <w:pPr>
        <w:widowControl/>
        <w:spacing w:before="120" w:after="120"/>
        <w:rPr>
          <w:rFonts w:cs="Arial"/>
        </w:rPr>
      </w:pPr>
      <w:r w:rsidRPr="00AD53F7">
        <w:rPr>
          <w:rFonts w:cs="Arial"/>
        </w:rPr>
        <w:t>Standard 2.6.2 regulates packaged water and water-based beverages</w:t>
      </w:r>
      <w:r>
        <w:rPr>
          <w:rFonts w:cs="Arial"/>
        </w:rPr>
        <w:t xml:space="preserve">, including </w:t>
      </w:r>
      <w:r w:rsidRPr="00AD53F7">
        <w:rPr>
          <w:rFonts w:cs="Arial"/>
        </w:rPr>
        <w:t>electrolyte drink</w:t>
      </w:r>
      <w:r>
        <w:rPr>
          <w:rFonts w:cs="Arial"/>
        </w:rPr>
        <w:t xml:space="preserve">s and </w:t>
      </w:r>
      <w:r w:rsidRPr="00AD53F7">
        <w:rPr>
          <w:rFonts w:cs="Arial"/>
        </w:rPr>
        <w:t>electrolyte drink</w:t>
      </w:r>
      <w:r>
        <w:rPr>
          <w:rFonts w:cs="Arial"/>
        </w:rPr>
        <w:t xml:space="preserve"> bases</w:t>
      </w:r>
      <w:r w:rsidRPr="00AD53F7">
        <w:rPr>
          <w:rFonts w:cs="Arial"/>
        </w:rPr>
        <w:t xml:space="preserve">. </w:t>
      </w:r>
    </w:p>
    <w:p w14:paraId="31FE3CD4" w14:textId="77777777" w:rsidR="00F647AE" w:rsidRPr="003D11EB" w:rsidRDefault="00F647AE" w:rsidP="00F647AE">
      <w:pPr>
        <w:widowControl/>
        <w:spacing w:before="120" w:after="120"/>
        <w:rPr>
          <w:rFonts w:cs="Arial"/>
          <w:szCs w:val="22"/>
        </w:rPr>
      </w:pPr>
      <w:r w:rsidRPr="003D11EB">
        <w:rPr>
          <w:rFonts w:cs="Arial"/>
          <w:szCs w:val="22"/>
        </w:rPr>
        <w:t xml:space="preserve">The Code defines an ‘electrolyte drink’ to mean </w:t>
      </w:r>
      <w:r w:rsidRPr="003D11EB">
        <w:rPr>
          <w:rFonts w:cs="Arial"/>
          <w:i/>
          <w:szCs w:val="22"/>
        </w:rPr>
        <w:t>a drink formulated and represented as suitable for the rapid replacement of fluid, carbohydrates, electrolytes and minerals</w:t>
      </w:r>
      <w:r w:rsidRPr="003D11EB">
        <w:rPr>
          <w:rFonts w:cs="Arial"/>
          <w:szCs w:val="22"/>
        </w:rPr>
        <w:t>.</w:t>
      </w:r>
      <w:r w:rsidRPr="003D11EB">
        <w:rPr>
          <w:rFonts w:cs="Arial"/>
          <w:i/>
          <w:szCs w:val="22"/>
        </w:rPr>
        <w:t xml:space="preserve"> </w:t>
      </w:r>
      <w:r w:rsidRPr="003D11EB">
        <w:rPr>
          <w:rFonts w:cs="Arial"/>
          <w:szCs w:val="22"/>
        </w:rPr>
        <w:t xml:space="preserve">An ‘electrolyte drink base’ is defined to mean </w:t>
      </w:r>
      <w:r w:rsidRPr="003D11EB">
        <w:rPr>
          <w:rFonts w:cs="Arial"/>
          <w:i/>
          <w:szCs w:val="22"/>
        </w:rPr>
        <w:t>a solid or liquid which when made up, makes an electrolyte drink.</w:t>
      </w:r>
      <w:r w:rsidRPr="003D11EB">
        <w:rPr>
          <w:rFonts w:cs="Arial"/>
          <w:szCs w:val="22"/>
        </w:rPr>
        <w:t xml:space="preserve"> </w:t>
      </w:r>
    </w:p>
    <w:p w14:paraId="01705654" w14:textId="77777777" w:rsidR="00F647AE" w:rsidRDefault="00F647AE" w:rsidP="00F647AE">
      <w:pPr>
        <w:widowControl/>
        <w:spacing w:before="120" w:after="120"/>
        <w:rPr>
          <w:rFonts w:cs="Arial"/>
        </w:rPr>
      </w:pPr>
      <w:r>
        <w:rPr>
          <w:rFonts w:cs="Arial"/>
        </w:rPr>
        <w:t>Sections 2.6.2—9 to 2.6.2—12 apply specifically to electrolyte drinks and electrolyte drink bases (collectively referred to below as ‘electrolyte drinks’).</w:t>
      </w:r>
    </w:p>
    <w:p w14:paraId="4DAC88AA" w14:textId="77777777" w:rsidR="00F647AE" w:rsidRPr="00AD53F7" w:rsidRDefault="00F647AE" w:rsidP="00F647AE">
      <w:pPr>
        <w:widowControl/>
        <w:spacing w:before="120" w:after="120"/>
        <w:rPr>
          <w:rFonts w:cs="Arial"/>
          <w:i/>
        </w:rPr>
      </w:pPr>
      <w:r>
        <w:rPr>
          <w:rFonts w:cs="Arial"/>
        </w:rPr>
        <w:t>The c</w:t>
      </w:r>
      <w:r w:rsidRPr="00AD53F7">
        <w:rPr>
          <w:rFonts w:cs="Arial"/>
        </w:rPr>
        <w:t>ompositional requirements for</w:t>
      </w:r>
      <w:r>
        <w:rPr>
          <w:rFonts w:cs="Arial"/>
        </w:rPr>
        <w:t xml:space="preserve"> electrolyte drinks </w:t>
      </w:r>
      <w:r w:rsidRPr="00AD53F7">
        <w:rPr>
          <w:rFonts w:cs="Arial"/>
        </w:rPr>
        <w:t xml:space="preserve">prescribed </w:t>
      </w:r>
      <w:r>
        <w:rPr>
          <w:rFonts w:cs="Arial"/>
        </w:rPr>
        <w:t xml:space="preserve">in section 2.6.2—9 </w:t>
      </w:r>
      <w:r w:rsidRPr="00AD53F7">
        <w:rPr>
          <w:rFonts w:cs="Arial"/>
        </w:rPr>
        <w:t>are shown in Table</w:t>
      </w:r>
      <w:r>
        <w:rPr>
          <w:rFonts w:cs="Arial"/>
        </w:rPr>
        <w:t> </w:t>
      </w:r>
      <w:r w:rsidRPr="00AD53F7">
        <w:rPr>
          <w:rFonts w:cs="Arial"/>
        </w:rPr>
        <w:t xml:space="preserve">1. </w:t>
      </w:r>
    </w:p>
    <w:p w14:paraId="6F03CBC8" w14:textId="77777777" w:rsidR="00F647AE" w:rsidRPr="00AD53F7" w:rsidRDefault="00F647AE" w:rsidP="00F647AE">
      <w:pPr>
        <w:pStyle w:val="FSTableTitle"/>
        <w:widowControl/>
        <w:spacing w:before="120" w:after="120"/>
      </w:pPr>
      <w:r w:rsidRPr="00AD53F7">
        <w:t>Table 1: Prescribed composition of electrolyte drinks and electrolyte drink bases</w:t>
      </w:r>
      <w:r>
        <w:t xml:space="preserve"> </w:t>
      </w:r>
    </w:p>
    <w:tbl>
      <w:tblPr>
        <w:tblStyle w:val="TableGrid"/>
        <w:tblW w:w="5000" w:type="pct"/>
        <w:tblInd w:w="108" w:type="dxa"/>
        <w:tblLook w:val="04A0" w:firstRow="1" w:lastRow="0" w:firstColumn="1" w:lastColumn="0" w:noHBand="0" w:noVBand="1"/>
        <w:tblCaption w:val="Prescribed composition of electrolyte drinks and electrolyte drink bases "/>
        <w:tblDescription w:val="Table 1 describes the prescribed composition of electrolyte drinks and electrolyte drink bases "/>
      </w:tblPr>
      <w:tblGrid>
        <w:gridCol w:w="4530"/>
        <w:gridCol w:w="4530"/>
      </w:tblGrid>
      <w:tr w:rsidR="00F647AE" w:rsidRPr="00AD53F7" w14:paraId="6766429A" w14:textId="77777777" w:rsidTr="00F357A0">
        <w:trPr>
          <w:tblHeader/>
        </w:trPr>
        <w:tc>
          <w:tcPr>
            <w:tcW w:w="2500" w:type="pct"/>
          </w:tcPr>
          <w:p w14:paraId="7FAD9DC8" w14:textId="77777777" w:rsidR="00F647AE" w:rsidRPr="005626EF" w:rsidRDefault="00F647AE" w:rsidP="00F357A0">
            <w:pPr>
              <w:widowControl/>
              <w:spacing w:before="42" w:after="42"/>
              <w:rPr>
                <w:b/>
                <w:sz w:val="20"/>
                <w:szCs w:val="20"/>
              </w:rPr>
            </w:pPr>
            <w:r w:rsidRPr="005626EF">
              <w:rPr>
                <w:b/>
                <w:sz w:val="20"/>
                <w:szCs w:val="20"/>
              </w:rPr>
              <w:t>Component</w:t>
            </w:r>
          </w:p>
        </w:tc>
        <w:tc>
          <w:tcPr>
            <w:tcW w:w="2500" w:type="pct"/>
          </w:tcPr>
          <w:p w14:paraId="428AF1AD" w14:textId="77777777" w:rsidR="00F647AE" w:rsidRPr="005626EF" w:rsidRDefault="00F647AE" w:rsidP="00F357A0">
            <w:pPr>
              <w:widowControl/>
              <w:spacing w:before="42" w:after="42"/>
              <w:rPr>
                <w:b/>
                <w:sz w:val="20"/>
                <w:szCs w:val="20"/>
              </w:rPr>
            </w:pPr>
            <w:r w:rsidRPr="005626EF">
              <w:rPr>
                <w:b/>
                <w:sz w:val="20"/>
                <w:szCs w:val="20"/>
              </w:rPr>
              <w:t xml:space="preserve">Compositional </w:t>
            </w:r>
            <w:r>
              <w:rPr>
                <w:b/>
                <w:sz w:val="20"/>
                <w:szCs w:val="20"/>
              </w:rPr>
              <w:t>Requirements</w:t>
            </w:r>
          </w:p>
        </w:tc>
      </w:tr>
      <w:tr w:rsidR="00F647AE" w:rsidRPr="00AD53F7" w14:paraId="16A6EFCF" w14:textId="77777777" w:rsidTr="00F357A0">
        <w:tc>
          <w:tcPr>
            <w:tcW w:w="2500" w:type="pct"/>
          </w:tcPr>
          <w:p w14:paraId="5915F618" w14:textId="77777777" w:rsidR="00F647AE" w:rsidRPr="00AD53F7" w:rsidRDefault="00F647AE" w:rsidP="00F357A0">
            <w:pPr>
              <w:widowControl/>
              <w:spacing w:before="42" w:after="42"/>
              <w:rPr>
                <w:sz w:val="20"/>
                <w:szCs w:val="20"/>
              </w:rPr>
            </w:pPr>
            <w:r>
              <w:rPr>
                <w:sz w:val="20"/>
                <w:szCs w:val="20"/>
              </w:rPr>
              <w:t xml:space="preserve">(Total) </w:t>
            </w:r>
            <w:r w:rsidRPr="00AD53F7">
              <w:rPr>
                <w:sz w:val="20"/>
                <w:szCs w:val="20"/>
              </w:rPr>
              <w:t>Carbohydrate (</w:t>
            </w:r>
            <w:r>
              <w:rPr>
                <w:sz w:val="20"/>
                <w:szCs w:val="20"/>
              </w:rPr>
              <w:t xml:space="preserve">five </w:t>
            </w:r>
            <w:r w:rsidRPr="00AD53F7">
              <w:rPr>
                <w:sz w:val="20"/>
                <w:szCs w:val="20"/>
              </w:rPr>
              <w:t>specified sugars)</w:t>
            </w:r>
          </w:p>
        </w:tc>
        <w:tc>
          <w:tcPr>
            <w:tcW w:w="2500" w:type="pct"/>
          </w:tcPr>
          <w:p w14:paraId="3A8EE2FE" w14:textId="77777777" w:rsidR="00F647AE" w:rsidRPr="00AD53F7" w:rsidRDefault="00F647AE" w:rsidP="00F357A0">
            <w:pPr>
              <w:widowControl/>
              <w:spacing w:before="42" w:after="42"/>
              <w:rPr>
                <w:sz w:val="20"/>
                <w:szCs w:val="20"/>
              </w:rPr>
            </w:pPr>
            <w:r w:rsidRPr="00AD53F7">
              <w:rPr>
                <w:sz w:val="20"/>
                <w:szCs w:val="20"/>
              </w:rPr>
              <w:t>50-100 g/L</w:t>
            </w:r>
          </w:p>
        </w:tc>
      </w:tr>
      <w:tr w:rsidR="00F647AE" w:rsidRPr="00AD53F7" w14:paraId="04C51139" w14:textId="77777777" w:rsidTr="00F357A0">
        <w:tc>
          <w:tcPr>
            <w:tcW w:w="2500" w:type="pct"/>
          </w:tcPr>
          <w:p w14:paraId="1D4AA142" w14:textId="77777777" w:rsidR="00F647AE" w:rsidRPr="00AD53F7" w:rsidRDefault="00F647AE" w:rsidP="00F357A0">
            <w:pPr>
              <w:widowControl/>
              <w:spacing w:before="42" w:after="42"/>
              <w:ind w:left="342"/>
              <w:rPr>
                <w:sz w:val="20"/>
                <w:szCs w:val="20"/>
              </w:rPr>
            </w:pPr>
            <w:r>
              <w:rPr>
                <w:sz w:val="20"/>
                <w:szCs w:val="20"/>
              </w:rPr>
              <w:t>Fructose</w:t>
            </w:r>
          </w:p>
        </w:tc>
        <w:tc>
          <w:tcPr>
            <w:tcW w:w="2500" w:type="pct"/>
          </w:tcPr>
          <w:p w14:paraId="53191846" w14:textId="77777777" w:rsidR="00F647AE" w:rsidRPr="00AD53F7" w:rsidRDefault="00F647AE" w:rsidP="009777C9">
            <w:pPr>
              <w:widowControl/>
              <w:spacing w:before="42" w:after="42"/>
              <w:rPr>
                <w:sz w:val="20"/>
                <w:szCs w:val="20"/>
              </w:rPr>
            </w:pPr>
            <w:r>
              <w:rPr>
                <w:rFonts w:cs="Arial"/>
                <w:sz w:val="20"/>
                <w:szCs w:val="20"/>
              </w:rPr>
              <w:t>≤</w:t>
            </w:r>
            <w:r>
              <w:rPr>
                <w:sz w:val="20"/>
                <w:szCs w:val="20"/>
              </w:rPr>
              <w:t>5</w:t>
            </w:r>
            <w:r w:rsidRPr="00AD53F7">
              <w:rPr>
                <w:sz w:val="20"/>
                <w:szCs w:val="20"/>
              </w:rPr>
              <w:t xml:space="preserve">0 </w:t>
            </w:r>
            <w:r>
              <w:rPr>
                <w:sz w:val="20"/>
                <w:szCs w:val="20"/>
              </w:rPr>
              <w:t>g</w:t>
            </w:r>
            <w:r w:rsidRPr="00AD53F7">
              <w:rPr>
                <w:sz w:val="20"/>
                <w:szCs w:val="20"/>
              </w:rPr>
              <w:t>/L</w:t>
            </w:r>
          </w:p>
        </w:tc>
      </w:tr>
      <w:tr w:rsidR="00F647AE" w:rsidRPr="00AD53F7" w14:paraId="09939539" w14:textId="77777777" w:rsidTr="00F357A0">
        <w:tc>
          <w:tcPr>
            <w:tcW w:w="2500" w:type="pct"/>
          </w:tcPr>
          <w:p w14:paraId="17325861" w14:textId="77777777" w:rsidR="00F647AE" w:rsidRPr="00AD53F7" w:rsidRDefault="00F647AE" w:rsidP="00F357A0">
            <w:pPr>
              <w:widowControl/>
              <w:spacing w:before="42" w:after="42"/>
              <w:rPr>
                <w:sz w:val="20"/>
                <w:szCs w:val="20"/>
              </w:rPr>
            </w:pPr>
            <w:r w:rsidRPr="00AD53F7">
              <w:rPr>
                <w:sz w:val="20"/>
                <w:szCs w:val="20"/>
              </w:rPr>
              <w:t>Sodium</w:t>
            </w:r>
          </w:p>
        </w:tc>
        <w:tc>
          <w:tcPr>
            <w:tcW w:w="2500" w:type="pct"/>
          </w:tcPr>
          <w:p w14:paraId="01753C36" w14:textId="77777777" w:rsidR="00F647AE" w:rsidRPr="00AD53F7" w:rsidRDefault="00F647AE" w:rsidP="00F357A0">
            <w:pPr>
              <w:widowControl/>
              <w:spacing w:before="42" w:after="42"/>
              <w:rPr>
                <w:sz w:val="20"/>
                <w:szCs w:val="20"/>
              </w:rPr>
            </w:pPr>
            <w:r>
              <w:rPr>
                <w:rFonts w:cs="Arial"/>
                <w:sz w:val="20"/>
                <w:szCs w:val="20"/>
              </w:rPr>
              <w:t>≥</w:t>
            </w:r>
            <w:r w:rsidRPr="00AD53F7">
              <w:rPr>
                <w:sz w:val="20"/>
                <w:szCs w:val="20"/>
              </w:rPr>
              <w:t>10 mmol/L</w:t>
            </w:r>
          </w:p>
        </w:tc>
      </w:tr>
    </w:tbl>
    <w:p w14:paraId="7DD0689F" w14:textId="77777777" w:rsidR="00F647AE" w:rsidRDefault="00F647AE" w:rsidP="00F647AE">
      <w:pPr>
        <w:widowControl/>
        <w:spacing w:before="120" w:after="120"/>
        <w:rPr>
          <w:rFonts w:cs="Arial"/>
        </w:rPr>
      </w:pPr>
      <w:r>
        <w:rPr>
          <w:rFonts w:cs="Arial"/>
        </w:rPr>
        <w:t>Section</w:t>
      </w:r>
      <w:r w:rsidRPr="00AD53F7">
        <w:rPr>
          <w:rFonts w:cs="Arial"/>
        </w:rPr>
        <w:t xml:space="preserve"> 2.6.2</w:t>
      </w:r>
      <w:r>
        <w:rPr>
          <w:rFonts w:cs="Arial"/>
        </w:rPr>
        <w:t xml:space="preserve">—10 permits addition of mineral salts listed in paragraphs 2.6.2—10(a)-(l) to electrolyte drinks. </w:t>
      </w:r>
    </w:p>
    <w:p w14:paraId="3F4A9AF4" w14:textId="77777777" w:rsidR="00F647AE" w:rsidRDefault="00F647AE" w:rsidP="00F647AE">
      <w:pPr>
        <w:widowControl/>
        <w:spacing w:before="120" w:after="120"/>
        <w:rPr>
          <w:rFonts w:cs="Arial"/>
        </w:rPr>
      </w:pPr>
      <w:r>
        <w:rPr>
          <w:rFonts w:cs="Arial"/>
        </w:rPr>
        <w:lastRenderedPageBreak/>
        <w:t xml:space="preserve">Section 2.6.2—11 sets out the labelling requirements for electrolyte drinks, which relate to information about the average energy content in an electrolyte drink, the average amount of certain nutrients (carbohydrate present, and added minerals and electrolytes) in the electrolyte drink, as well as the recommended volume and frequency of use for the electrolyte drink. </w:t>
      </w:r>
    </w:p>
    <w:p w14:paraId="2C275630" w14:textId="77777777" w:rsidR="00F647AE" w:rsidRDefault="00F647AE" w:rsidP="00F647AE">
      <w:pPr>
        <w:widowControl/>
        <w:spacing w:before="120" w:after="120"/>
        <w:rPr>
          <w:rFonts w:cs="Arial"/>
        </w:rPr>
      </w:pPr>
      <w:r>
        <w:rPr>
          <w:rFonts w:cs="Arial"/>
        </w:rPr>
        <w:t>Section 2.6.2—12 relates to c</w:t>
      </w:r>
      <w:r w:rsidRPr="00DF0F16">
        <w:rPr>
          <w:rFonts w:cs="Arial"/>
        </w:rPr>
        <w:t xml:space="preserve">laims </w:t>
      </w:r>
      <w:r>
        <w:rPr>
          <w:rFonts w:cs="Arial"/>
        </w:rPr>
        <w:t xml:space="preserve">made </w:t>
      </w:r>
      <w:r w:rsidRPr="00DF0F16">
        <w:rPr>
          <w:rFonts w:cs="Arial"/>
        </w:rPr>
        <w:t>in relation to the tonicity of electrolyte drinks</w:t>
      </w:r>
      <w:r>
        <w:rPr>
          <w:rFonts w:cs="Arial"/>
        </w:rPr>
        <w:t xml:space="preserve">. Subsection 2.6.2—12(1) permits a claim that an electrolyte drink is isotonic if the drink has an average osmolality of </w:t>
      </w:r>
      <w:r w:rsidRPr="00547ABE">
        <w:rPr>
          <w:rFonts w:cs="Arial"/>
        </w:rPr>
        <w:t>250</w:t>
      </w:r>
      <w:r>
        <w:rPr>
          <w:rFonts w:cs="Arial"/>
        </w:rPr>
        <w:t>–</w:t>
      </w:r>
      <w:r w:rsidRPr="00547ABE">
        <w:rPr>
          <w:rFonts w:cs="Arial"/>
        </w:rPr>
        <w:t>340 mOsm/L</w:t>
      </w:r>
      <w:r>
        <w:rPr>
          <w:rFonts w:cs="Arial"/>
        </w:rPr>
        <w:t>. Subsection 2.6.2—12(2) requires the declaration of osmolality to be made in mOsm/L.</w:t>
      </w:r>
    </w:p>
    <w:p w14:paraId="7C223737" w14:textId="77777777" w:rsidR="00F647AE" w:rsidRDefault="00F647AE" w:rsidP="00F647AE">
      <w:pPr>
        <w:widowControl/>
        <w:spacing w:before="120" w:after="120"/>
        <w:rPr>
          <w:rFonts w:cs="Arial"/>
        </w:rPr>
      </w:pPr>
      <w:r>
        <w:rPr>
          <w:rFonts w:cs="Arial"/>
        </w:rPr>
        <w:t>Subsection 2.6.2—(12)(3) permits</w:t>
      </w:r>
      <w:r w:rsidRPr="00AD53F7">
        <w:rPr>
          <w:rFonts w:cs="Arial"/>
        </w:rPr>
        <w:t xml:space="preserve"> </w:t>
      </w:r>
      <w:r>
        <w:rPr>
          <w:rFonts w:cs="Arial"/>
        </w:rPr>
        <w:t xml:space="preserve">the label on a package of </w:t>
      </w:r>
      <w:r w:rsidRPr="00AD53F7">
        <w:rPr>
          <w:rFonts w:cs="Arial"/>
        </w:rPr>
        <w:t xml:space="preserve">isotonic electrolyte drink </w:t>
      </w:r>
      <w:r w:rsidRPr="00547ABE">
        <w:rPr>
          <w:rFonts w:cs="Arial"/>
        </w:rPr>
        <w:t xml:space="preserve">to </w:t>
      </w:r>
      <w:r>
        <w:rPr>
          <w:rFonts w:cs="Arial"/>
        </w:rPr>
        <w:t>include words</w:t>
      </w:r>
      <w:r w:rsidRPr="00AD53F7">
        <w:rPr>
          <w:rFonts w:cs="Arial"/>
        </w:rPr>
        <w:t xml:space="preserve"> to the effect that</w:t>
      </w:r>
      <w:r>
        <w:rPr>
          <w:rFonts w:cs="Arial"/>
        </w:rPr>
        <w:t>:</w:t>
      </w:r>
    </w:p>
    <w:p w14:paraId="47AD39A2" w14:textId="77777777" w:rsidR="00F647AE" w:rsidRPr="00AD53F7" w:rsidRDefault="00F647AE" w:rsidP="00F647AE">
      <w:pPr>
        <w:widowControl/>
        <w:spacing w:before="120" w:after="120"/>
        <w:ind w:left="567"/>
        <w:rPr>
          <w:rFonts w:cs="Arial"/>
        </w:rPr>
      </w:pPr>
      <w:r w:rsidRPr="00AD53F7">
        <w:rPr>
          <w:rFonts w:cs="Arial"/>
          <w:i/>
        </w:rPr>
        <w:t>the product is designed to promote the availability of energy and to prevent or treat mild dehydration that may occur as a result of sustained strenuous exercise</w:t>
      </w:r>
      <w:r w:rsidRPr="00AD53F7">
        <w:rPr>
          <w:rFonts w:cs="Arial"/>
        </w:rPr>
        <w:t>.</w:t>
      </w:r>
    </w:p>
    <w:p w14:paraId="5B88D10B" w14:textId="77777777" w:rsidR="00F647AE" w:rsidRPr="001112F1" w:rsidRDefault="00F647AE" w:rsidP="00F647AE">
      <w:pPr>
        <w:widowControl/>
        <w:spacing w:before="120" w:after="120"/>
      </w:pPr>
      <w:r w:rsidRPr="001112F1">
        <w:t xml:space="preserve">Permission for this claim was incorporated into Standard 2.6.2 before Standard 1.2.7 came into effect. </w:t>
      </w:r>
    </w:p>
    <w:p w14:paraId="2AC880FE" w14:textId="77777777" w:rsidR="00F647AE" w:rsidRPr="00FF5369" w:rsidRDefault="00F647AE" w:rsidP="00FF5369">
      <w:pPr>
        <w:pStyle w:val="Heading3"/>
      </w:pPr>
      <w:bookmarkStart w:id="41" w:name="_Toc63342479"/>
      <w:bookmarkStart w:id="42" w:name="_Toc71711614"/>
      <w:bookmarkStart w:id="43" w:name="_Toc72673548"/>
      <w:bookmarkStart w:id="44" w:name="_Toc100829758"/>
      <w:bookmarkStart w:id="45" w:name="_Toc103090800"/>
      <w:bookmarkStart w:id="46" w:name="_Toc103197692"/>
      <w:r w:rsidRPr="00FF5369">
        <w:t>1.3.2</w:t>
      </w:r>
      <w:r w:rsidRPr="00FF5369">
        <w:tab/>
        <w:t>Standard 1.2.7</w:t>
      </w:r>
      <w:bookmarkEnd w:id="41"/>
      <w:bookmarkEnd w:id="42"/>
      <w:bookmarkEnd w:id="43"/>
      <w:bookmarkEnd w:id="44"/>
      <w:bookmarkEnd w:id="45"/>
      <w:bookmarkEnd w:id="46"/>
    </w:p>
    <w:p w14:paraId="2733437D" w14:textId="17671F17" w:rsidR="00F647AE" w:rsidRDefault="00F647AE" w:rsidP="00F647AE">
      <w:pPr>
        <w:widowControl/>
        <w:spacing w:before="120" w:after="120"/>
        <w:rPr>
          <w:rFonts w:cs="Arial"/>
        </w:rPr>
      </w:pPr>
      <w:r w:rsidRPr="003E4C2F">
        <w:rPr>
          <w:rFonts w:cs="Arial"/>
        </w:rPr>
        <w:t xml:space="preserve">Standard 1.2.7 regulates nutrition content and health claims on foods </w:t>
      </w:r>
      <w:r w:rsidR="00A710FB">
        <w:rPr>
          <w:rFonts w:cs="Arial"/>
        </w:rPr>
        <w:t>and</w:t>
      </w:r>
      <w:r w:rsidR="00BB26EF">
        <w:rPr>
          <w:rFonts w:cs="Arial"/>
        </w:rPr>
        <w:t xml:space="preserve"> </w:t>
      </w:r>
      <w:r w:rsidRPr="003E4C2F">
        <w:rPr>
          <w:rFonts w:cs="Arial"/>
        </w:rPr>
        <w:t>sets out the conditions under which such claims can be made</w:t>
      </w:r>
      <w:r w:rsidR="00A710FB">
        <w:rPr>
          <w:rFonts w:cs="Arial"/>
        </w:rPr>
        <w:t>. This</w:t>
      </w:r>
      <w:r w:rsidRPr="003E4C2F">
        <w:rPr>
          <w:rFonts w:cs="Arial"/>
        </w:rPr>
        <w:t xml:space="preserve"> includes requirements for self-substantiating food-health relationships that underpin general level health claims (GLHC) and for food needing to meet the NPSC to be eligible to carry a health claim. However, the prescribed composition (specifically the prescribed minimum amount of carbohydrate) for electrolyte drinks prevents most of the drinks from carrying health claims (including self-substantiated health claims) on their labels and in advertising in accordance with Standard 1.2.7 as they are generally unable to meet the NPSC.</w:t>
      </w:r>
    </w:p>
    <w:p w14:paraId="74B0D252" w14:textId="77777777" w:rsidR="00F647AE" w:rsidRPr="003E4C2F" w:rsidRDefault="00F647AE" w:rsidP="00F647AE">
      <w:pPr>
        <w:widowControl/>
        <w:spacing w:before="120" w:after="120"/>
        <w:rPr>
          <w:rFonts w:cs="Arial"/>
        </w:rPr>
      </w:pPr>
      <w:r w:rsidRPr="003E4C2F">
        <w:rPr>
          <w:rFonts w:cs="Arial"/>
        </w:rPr>
        <w:t>Standard 1.2.7 also prohibits claims that are therapeutic in nature, in other words, claims that:</w:t>
      </w:r>
    </w:p>
    <w:p w14:paraId="3E8191AB" w14:textId="77777777" w:rsidR="00F647AE" w:rsidRPr="003E4C2F" w:rsidRDefault="00F647AE" w:rsidP="002537E1">
      <w:pPr>
        <w:pStyle w:val="FSBullet1"/>
        <w:numPr>
          <w:ilvl w:val="0"/>
          <w:numId w:val="5"/>
        </w:numPr>
        <w:ind w:left="567" w:hanging="567"/>
      </w:pPr>
      <w:r w:rsidRPr="003E4C2F">
        <w:t xml:space="preserve">refer to the prevention, diagnosis, cure or alleviation of a disease, disorder or condition; or </w:t>
      </w:r>
    </w:p>
    <w:p w14:paraId="0BBE2CF5" w14:textId="77777777" w:rsidR="00F647AE" w:rsidRPr="003E4C2F" w:rsidRDefault="00F647AE" w:rsidP="002537E1">
      <w:pPr>
        <w:pStyle w:val="FSBullet1"/>
        <w:numPr>
          <w:ilvl w:val="0"/>
          <w:numId w:val="5"/>
        </w:numPr>
        <w:ind w:left="567" w:hanging="567"/>
      </w:pPr>
      <w:r w:rsidRPr="003E4C2F">
        <w:t xml:space="preserve">compare a food with a good that is: </w:t>
      </w:r>
    </w:p>
    <w:p w14:paraId="19CF72B2" w14:textId="77777777" w:rsidR="00F647AE" w:rsidRPr="003E4C2F" w:rsidRDefault="00F647AE" w:rsidP="002537E1">
      <w:pPr>
        <w:pStyle w:val="FSBullet2"/>
        <w:numPr>
          <w:ilvl w:val="0"/>
          <w:numId w:val="6"/>
        </w:numPr>
        <w:ind w:left="1134" w:hanging="567"/>
      </w:pPr>
      <w:r w:rsidRPr="003E4C2F">
        <w:t xml:space="preserve">represented in any way to be for therapeutic use; or </w:t>
      </w:r>
    </w:p>
    <w:p w14:paraId="466FD946" w14:textId="77777777" w:rsidR="00F647AE" w:rsidRDefault="00F647AE" w:rsidP="002537E1">
      <w:pPr>
        <w:pStyle w:val="FSBullet2"/>
        <w:numPr>
          <w:ilvl w:val="0"/>
          <w:numId w:val="6"/>
        </w:numPr>
        <w:ind w:left="1134" w:hanging="567"/>
      </w:pPr>
      <w:r w:rsidRPr="003E4C2F">
        <w:t>likely to be taken to be for therapeutic use, whether because of the way in which the good is presented or for any other reason.</w:t>
      </w:r>
    </w:p>
    <w:p w14:paraId="4BEF3EA0" w14:textId="77777777" w:rsidR="00F647AE" w:rsidRDefault="00F647AE" w:rsidP="00F647AE">
      <w:pPr>
        <w:widowControl/>
        <w:spacing w:before="120" w:after="120"/>
        <w:rPr>
          <w:rFonts w:cs="Arial"/>
        </w:rPr>
      </w:pPr>
      <w:r w:rsidRPr="003E4C2F">
        <w:rPr>
          <w:rFonts w:cs="Arial"/>
        </w:rPr>
        <w:t>Standard 1.2.7 does not apply to claims expressly permitted elsewhere in the Code, such as the claims permitted for isotonic electrolyte drinks in Standard 2.6.2 (see section 1.2.7—6).</w:t>
      </w:r>
    </w:p>
    <w:p w14:paraId="3442650E" w14:textId="77777777" w:rsidR="00F647AE" w:rsidRDefault="00F647AE" w:rsidP="007B4B2D">
      <w:pPr>
        <w:pStyle w:val="Heading3"/>
        <w:spacing w:after="120"/>
      </w:pPr>
      <w:bookmarkStart w:id="47" w:name="_Toc63342480"/>
      <w:bookmarkStart w:id="48" w:name="_Toc71711615"/>
      <w:bookmarkStart w:id="49" w:name="_Toc72673549"/>
      <w:bookmarkStart w:id="50" w:name="_Toc100829759"/>
      <w:bookmarkStart w:id="51" w:name="_Toc103090801"/>
      <w:bookmarkStart w:id="52" w:name="_Toc103197693"/>
      <w:r>
        <w:t>1.3.3</w:t>
      </w:r>
      <w:r>
        <w:tab/>
        <w:t>Standard 1.2.1</w:t>
      </w:r>
      <w:bookmarkEnd w:id="47"/>
      <w:bookmarkEnd w:id="48"/>
      <w:bookmarkEnd w:id="49"/>
      <w:bookmarkEnd w:id="50"/>
      <w:bookmarkEnd w:id="51"/>
      <w:bookmarkEnd w:id="52"/>
    </w:p>
    <w:p w14:paraId="722B9742" w14:textId="77777777" w:rsidR="00F647AE" w:rsidRDefault="00F647AE" w:rsidP="00F647AE">
      <w:pPr>
        <w:widowControl/>
        <w:spacing w:before="120" w:after="120"/>
        <w:rPr>
          <w:rFonts w:cs="Arial"/>
        </w:rPr>
      </w:pPr>
      <w:r>
        <w:rPr>
          <w:rFonts w:cs="Arial"/>
        </w:rPr>
        <w:t>Section 1.2.1—6 requires packaged electrolyte drinks to bear a label with the information referred to in subsection 1.2.1—8(1) (among other things) unless specific exemptions apply. The following requirements relate particularly to electrolyte drinks.</w:t>
      </w:r>
    </w:p>
    <w:p w14:paraId="0D56C2A1" w14:textId="77777777" w:rsidR="00F647AE" w:rsidRDefault="00F647AE" w:rsidP="00F647AE">
      <w:pPr>
        <w:widowControl/>
        <w:spacing w:before="120" w:after="120"/>
        <w:rPr>
          <w:rFonts w:cs="Arial"/>
        </w:rPr>
      </w:pPr>
      <w:r>
        <w:rPr>
          <w:rFonts w:cs="Arial"/>
        </w:rPr>
        <w:t xml:space="preserve">Paragraph 1.2.1—8(1)(t)(i) requires a declaration of compositional information required by section 2.6.2—11 on the labels of packaged electrolyte drinks. </w:t>
      </w:r>
    </w:p>
    <w:p w14:paraId="54755382" w14:textId="6BF31795" w:rsidR="00F647AE" w:rsidRDefault="00F647AE" w:rsidP="00F647AE">
      <w:pPr>
        <w:widowControl/>
        <w:spacing w:before="120" w:after="120"/>
        <w:rPr>
          <w:rFonts w:cs="Arial"/>
        </w:rPr>
      </w:pPr>
      <w:r>
        <w:rPr>
          <w:rFonts w:cs="Arial"/>
        </w:rPr>
        <w:t xml:space="preserve">Paragraph </w:t>
      </w:r>
      <w:r w:rsidRPr="000D0D72">
        <w:rPr>
          <w:rFonts w:cs="Arial"/>
        </w:rPr>
        <w:t>1.2.1—8</w:t>
      </w:r>
      <w:r>
        <w:rPr>
          <w:rFonts w:cs="Arial"/>
        </w:rPr>
        <w:t>(1)</w:t>
      </w:r>
      <w:r w:rsidRPr="000D0D72">
        <w:rPr>
          <w:rFonts w:cs="Arial"/>
        </w:rPr>
        <w:t>(t)</w:t>
      </w:r>
      <w:r>
        <w:rPr>
          <w:rFonts w:cs="Arial"/>
        </w:rPr>
        <w:t>(ii)</w:t>
      </w:r>
      <w:r w:rsidRPr="000D0D72">
        <w:rPr>
          <w:rFonts w:cs="Arial"/>
        </w:rPr>
        <w:t xml:space="preserve"> require</w:t>
      </w:r>
      <w:r>
        <w:rPr>
          <w:rFonts w:cs="Arial"/>
        </w:rPr>
        <w:t xml:space="preserve">s the declaration of </w:t>
      </w:r>
      <w:r w:rsidRPr="000D0D72">
        <w:rPr>
          <w:rFonts w:cs="Arial"/>
        </w:rPr>
        <w:t xml:space="preserve">osmolality </w:t>
      </w:r>
      <w:r>
        <w:rPr>
          <w:rFonts w:cs="Arial"/>
        </w:rPr>
        <w:t xml:space="preserve">of the electrolyte drink (as required by section 2.6.2—12) to be placed on the drink’s label </w:t>
      </w:r>
      <w:r w:rsidRPr="000D0D72">
        <w:rPr>
          <w:rFonts w:cs="Arial"/>
        </w:rPr>
        <w:t>when a claim is made that the drink is isotonic, hypertonic or hypotonic.</w:t>
      </w:r>
      <w:r>
        <w:rPr>
          <w:rFonts w:cs="Arial"/>
        </w:rPr>
        <w:t xml:space="preserve"> Section 2.6.</w:t>
      </w:r>
      <w:r w:rsidRPr="00A25D81">
        <w:t>2</w:t>
      </w:r>
      <w:r>
        <w:t>—12</w:t>
      </w:r>
      <w:r w:rsidRPr="00AD53F7">
        <w:rPr>
          <w:rFonts w:cs="Arial"/>
        </w:rPr>
        <w:t xml:space="preserve"> </w:t>
      </w:r>
      <w:r>
        <w:rPr>
          <w:rFonts w:cs="Arial"/>
        </w:rPr>
        <w:t xml:space="preserve">states that the osmolality of the electrolyte drink must be declared as measured in mOsm/L. </w:t>
      </w:r>
    </w:p>
    <w:p w14:paraId="5335BEB1" w14:textId="4121290B" w:rsidR="007D6E69" w:rsidRDefault="007D6E69" w:rsidP="00F647AE">
      <w:pPr>
        <w:widowControl/>
        <w:spacing w:before="120" w:after="120"/>
        <w:rPr>
          <w:rFonts w:cs="Arial"/>
        </w:rPr>
      </w:pPr>
      <w:r>
        <w:rPr>
          <w:rFonts w:cs="Arial"/>
        </w:rPr>
        <w:t xml:space="preserve">Section 2.3.5 </w:t>
      </w:r>
      <w:r w:rsidR="00475EAD">
        <w:rPr>
          <w:rFonts w:cs="Arial"/>
        </w:rPr>
        <w:t xml:space="preserve">below </w:t>
      </w:r>
      <w:r>
        <w:rPr>
          <w:rFonts w:cs="Arial"/>
        </w:rPr>
        <w:t>provides more details of the Code’s labelling requirements that apply to electrolyte drinks.</w:t>
      </w:r>
    </w:p>
    <w:p w14:paraId="341184D5" w14:textId="77777777" w:rsidR="00F647AE" w:rsidRDefault="00F647AE" w:rsidP="007B4B2D">
      <w:pPr>
        <w:pStyle w:val="Heading3"/>
        <w:spacing w:after="120"/>
      </w:pPr>
      <w:bookmarkStart w:id="53" w:name="_Toc63342481"/>
      <w:bookmarkStart w:id="54" w:name="_Toc71711616"/>
      <w:bookmarkStart w:id="55" w:name="_Toc72673550"/>
      <w:bookmarkStart w:id="56" w:name="_Toc100829760"/>
      <w:bookmarkStart w:id="57" w:name="_Toc103090802"/>
      <w:bookmarkStart w:id="58" w:name="_Toc103197694"/>
      <w:r>
        <w:lastRenderedPageBreak/>
        <w:t>1.3.4</w:t>
      </w:r>
      <w:r>
        <w:tab/>
        <w:t>Standard 1.2.2</w:t>
      </w:r>
      <w:bookmarkEnd w:id="53"/>
      <w:bookmarkEnd w:id="54"/>
      <w:bookmarkEnd w:id="55"/>
      <w:bookmarkEnd w:id="56"/>
      <w:bookmarkEnd w:id="57"/>
      <w:bookmarkEnd w:id="58"/>
    </w:p>
    <w:p w14:paraId="1F21BAB8" w14:textId="77777777" w:rsidR="00F647AE" w:rsidRDefault="00F647AE" w:rsidP="00F647AE">
      <w:pPr>
        <w:widowControl/>
        <w:spacing w:before="120" w:after="120"/>
      </w:pPr>
      <w:r w:rsidRPr="006F37D8">
        <w:t>Standard 1.2.2</w:t>
      </w:r>
      <w:r>
        <w:t xml:space="preserve"> – Food Identification Requirements</w:t>
      </w:r>
      <w:r w:rsidRPr="006F37D8">
        <w:t xml:space="preserve"> requires that the label on a package of food must include the prescribed name of the food (if a name is prescribed by the Code) and in any other case, a name or description of the food sufficient to indicate the true nature of the food</w:t>
      </w:r>
      <w:r>
        <w:t>; and which includes any additional words the Code requires to be included in the name of food</w:t>
      </w:r>
      <w:r w:rsidRPr="006F37D8">
        <w:t>.</w:t>
      </w:r>
    </w:p>
    <w:p w14:paraId="6C04E86D" w14:textId="77777777" w:rsidR="00F647AE" w:rsidRPr="00FC4076" w:rsidRDefault="00F647AE" w:rsidP="007B4B2D">
      <w:pPr>
        <w:pStyle w:val="Heading2"/>
        <w:spacing w:after="120"/>
      </w:pPr>
      <w:bookmarkStart w:id="59" w:name="_Toc60824987"/>
      <w:bookmarkStart w:id="60" w:name="_Toc61442294"/>
      <w:bookmarkStart w:id="61" w:name="_Toc61449838"/>
      <w:bookmarkStart w:id="62" w:name="_Toc63342482"/>
      <w:bookmarkStart w:id="63" w:name="_Toc71711617"/>
      <w:bookmarkStart w:id="64" w:name="_Toc72673551"/>
      <w:bookmarkStart w:id="65" w:name="_Toc100829761"/>
      <w:bookmarkStart w:id="66" w:name="_Toc103090803"/>
      <w:bookmarkStart w:id="67" w:name="_Toc103197695"/>
      <w:r>
        <w:t>1.4</w:t>
      </w:r>
      <w:r>
        <w:tab/>
        <w:t>International r</w:t>
      </w:r>
      <w:r w:rsidRPr="004808E9">
        <w:t>egulations</w:t>
      </w:r>
      <w:bookmarkEnd w:id="59"/>
      <w:bookmarkEnd w:id="60"/>
      <w:bookmarkEnd w:id="61"/>
      <w:bookmarkEnd w:id="62"/>
      <w:bookmarkEnd w:id="63"/>
      <w:bookmarkEnd w:id="64"/>
      <w:bookmarkEnd w:id="65"/>
      <w:bookmarkEnd w:id="66"/>
      <w:bookmarkEnd w:id="67"/>
      <w:r>
        <w:t xml:space="preserve">  </w:t>
      </w:r>
    </w:p>
    <w:p w14:paraId="135597A9" w14:textId="77777777" w:rsidR="00F647AE" w:rsidRPr="00812519" w:rsidRDefault="00F647AE" w:rsidP="00F647AE">
      <w:pPr>
        <w:rPr>
          <w:rFonts w:cs="Arial"/>
          <w:b/>
          <w:bCs/>
          <w:iCs/>
          <w:color w:val="000000"/>
          <w:szCs w:val="22"/>
          <w:lang w:eastAsia="en-GB" w:bidi="ar-SA"/>
        </w:rPr>
      </w:pPr>
      <w:r w:rsidRPr="000B7EFC">
        <w:rPr>
          <w:rFonts w:cs="Arial"/>
          <w:color w:val="000000"/>
          <w:szCs w:val="22"/>
          <w:lang w:eastAsia="en-GB" w:bidi="ar-SA"/>
        </w:rPr>
        <w:t>In developing food regulatory measures, FSANZ must have regard to the promotion of</w:t>
      </w:r>
      <w:r>
        <w:rPr>
          <w:rFonts w:cs="Arial"/>
          <w:color w:val="000000"/>
          <w:szCs w:val="22"/>
          <w:lang w:eastAsia="en-GB" w:bidi="ar-SA"/>
        </w:rPr>
        <w:t xml:space="preserve"> </w:t>
      </w:r>
      <w:r w:rsidRPr="000B7EFC">
        <w:rPr>
          <w:rFonts w:cs="Arial"/>
          <w:color w:val="000000"/>
          <w:szCs w:val="22"/>
          <w:lang w:eastAsia="en-GB" w:bidi="ar-SA"/>
        </w:rPr>
        <w:t>consistency between domestic and international food standards.</w:t>
      </w:r>
    </w:p>
    <w:p w14:paraId="55A7DDD3" w14:textId="0853D0D8" w:rsidR="00F647AE" w:rsidRPr="00E4229D" w:rsidRDefault="00F647AE" w:rsidP="00F647AE">
      <w:pPr>
        <w:widowControl/>
        <w:spacing w:before="120" w:after="120"/>
        <w:rPr>
          <w:rFonts w:cs="Arial"/>
          <w:szCs w:val="22"/>
          <w:lang w:val="en-AU" w:bidi="ar-SA"/>
        </w:rPr>
      </w:pPr>
      <w:r>
        <w:rPr>
          <w:rFonts w:cs="Arial"/>
          <w:lang w:val="en-AU"/>
        </w:rPr>
        <w:t xml:space="preserve">There are no Codex, </w:t>
      </w:r>
      <w:r w:rsidR="001223AA">
        <w:rPr>
          <w:rFonts w:cs="Arial"/>
          <w:lang w:val="en-AU"/>
        </w:rPr>
        <w:t>EU</w:t>
      </w:r>
      <w:r>
        <w:rPr>
          <w:rFonts w:cs="Arial"/>
          <w:lang w:val="en-AU"/>
        </w:rPr>
        <w:t xml:space="preserve"> or United States (US) commodity standards for the regulation of electrolyte drinks or sports drinks. In the EU, electrolyte drink composition is guided by the European Food Safety Authority (EFSA)</w:t>
      </w:r>
      <w:r w:rsidRPr="00455A6C">
        <w:rPr>
          <w:rFonts w:cs="Arial"/>
          <w:szCs w:val="22"/>
          <w:lang w:val="en-AU" w:bidi="ar-SA"/>
        </w:rPr>
        <w:t xml:space="preserve"> </w:t>
      </w:r>
      <w:r>
        <w:rPr>
          <w:rFonts w:cs="Arial"/>
          <w:szCs w:val="22"/>
          <w:lang w:val="en-AU" w:bidi="ar-SA"/>
        </w:rPr>
        <w:t>scientific opinions on carbohydrate and electrolyte criteria for health claims on ‘carbohydrate electrolyte solutions’ about hydration and physical performance,</w:t>
      </w:r>
      <w:r>
        <w:rPr>
          <w:rFonts w:cs="Arial"/>
          <w:lang w:val="en-AU"/>
        </w:rPr>
        <w:t xml:space="preserve"> as summarised in their technical advice</w:t>
      </w:r>
      <w:r>
        <w:rPr>
          <w:rStyle w:val="FootnoteReference"/>
          <w:rFonts w:cs="Arial"/>
          <w:lang w:val="en-AU"/>
        </w:rPr>
        <w:footnoteReference w:id="7"/>
      </w:r>
      <w:r>
        <w:rPr>
          <w:rFonts w:cs="Arial"/>
          <w:szCs w:val="22"/>
          <w:lang w:val="en-AU" w:bidi="ar-SA"/>
        </w:rPr>
        <w:t>. I</w:t>
      </w:r>
      <w:r>
        <w:rPr>
          <w:rFonts w:cs="Arial"/>
          <w:lang w:val="en-AU"/>
        </w:rPr>
        <w:t>n the US, the American College of Sports Medicine (ACSM)</w:t>
      </w:r>
      <w:r>
        <w:rPr>
          <w:rStyle w:val="FootnoteReference"/>
          <w:rFonts w:cs="Arial"/>
          <w:lang w:val="en-AU"/>
        </w:rPr>
        <w:footnoteReference w:id="8"/>
      </w:r>
      <w:r>
        <w:rPr>
          <w:rFonts w:cs="Arial"/>
          <w:lang w:val="en-AU"/>
        </w:rPr>
        <w:t xml:space="preserve"> has developed a </w:t>
      </w:r>
      <w:r>
        <w:rPr>
          <w:lang w:val="en-US"/>
        </w:rPr>
        <w:t>position on Exercise and Fluid Replacement regarding water and electrolyte intake during strenuous physical activity.</w:t>
      </w:r>
    </w:p>
    <w:p w14:paraId="749CDDDA" w14:textId="06B13103" w:rsidR="007A53BF" w:rsidRPr="002C4FB9" w:rsidRDefault="005E4709" w:rsidP="007B4B2D">
      <w:pPr>
        <w:pStyle w:val="Heading2"/>
        <w:spacing w:after="120"/>
        <w:rPr>
          <w:u w:color="FFFF00"/>
        </w:rPr>
      </w:pPr>
      <w:bookmarkStart w:id="68" w:name="_Toc286391007"/>
      <w:bookmarkStart w:id="69" w:name="_Toc300933423"/>
      <w:bookmarkStart w:id="70" w:name="_Toc370223468"/>
      <w:bookmarkStart w:id="71" w:name="_Toc100829762"/>
      <w:bookmarkStart w:id="72" w:name="_Toc103090804"/>
      <w:bookmarkStart w:id="73" w:name="_Toc103197696"/>
      <w:bookmarkStart w:id="74" w:name="_Toc175381432"/>
      <w:r>
        <w:rPr>
          <w:u w:color="FFFF00"/>
        </w:rPr>
        <w:t>1.5</w:t>
      </w:r>
      <w:r w:rsidR="007A53BF" w:rsidRPr="007A53BF">
        <w:rPr>
          <w:u w:color="FFFF00"/>
        </w:rPr>
        <w:tab/>
        <w:t xml:space="preserve">Reasons </w:t>
      </w:r>
      <w:r w:rsidR="007A53BF" w:rsidRPr="002C4FB9">
        <w:rPr>
          <w:u w:color="FFFF00"/>
        </w:rPr>
        <w:t xml:space="preserve">for </w:t>
      </w:r>
      <w:bookmarkEnd w:id="68"/>
      <w:bookmarkEnd w:id="69"/>
      <w:r w:rsidR="007A53BF" w:rsidRPr="002C4FB9">
        <w:t xml:space="preserve">preparing </w:t>
      </w:r>
      <w:r w:rsidR="002C4FB9">
        <w:t xml:space="preserve">the </w:t>
      </w:r>
      <w:r w:rsidR="007A53BF" w:rsidRPr="002C4FB9">
        <w:t>Proposal</w:t>
      </w:r>
      <w:bookmarkEnd w:id="70"/>
      <w:bookmarkEnd w:id="71"/>
      <w:bookmarkEnd w:id="72"/>
      <w:bookmarkEnd w:id="73"/>
    </w:p>
    <w:bookmarkEnd w:id="74"/>
    <w:p w14:paraId="14E3745D" w14:textId="69E38E52" w:rsidR="007A53BF" w:rsidRPr="00E67C5C" w:rsidRDefault="00EB2DB5" w:rsidP="00E67C5C">
      <w:pPr>
        <w:spacing w:before="120" w:after="120"/>
      </w:pPr>
      <w:r w:rsidRPr="00E67C5C">
        <w:t>T</w:t>
      </w:r>
      <w:r w:rsidR="00A27160">
        <w:t>he P</w:t>
      </w:r>
      <w:r w:rsidR="007A53BF" w:rsidRPr="00E67C5C">
        <w:t>roposal was prepared</w:t>
      </w:r>
      <w:r w:rsidR="0051604D" w:rsidRPr="00E67C5C">
        <w:t xml:space="preserve"> </w:t>
      </w:r>
      <w:r w:rsidR="007D6E69">
        <w:t>to assess whether</w:t>
      </w:r>
      <w:r w:rsidR="007D6E69" w:rsidRPr="00E67C5C">
        <w:t xml:space="preserve"> </w:t>
      </w:r>
      <w:r w:rsidR="0051604D" w:rsidRPr="00E67C5C">
        <w:t>several existing regulatory conditions warranted variation.</w:t>
      </w:r>
      <w:r w:rsidR="007D6E69">
        <w:t xml:space="preserve"> See </w:t>
      </w:r>
      <w:r w:rsidR="00475EAD">
        <w:t>S</w:t>
      </w:r>
      <w:r w:rsidR="007D6E69">
        <w:t>ection 1.1 above.</w:t>
      </w:r>
    </w:p>
    <w:p w14:paraId="74F3D75E" w14:textId="04FEF800" w:rsidR="007A53BF" w:rsidRPr="007A53BF" w:rsidRDefault="005E4709" w:rsidP="007B4B2D">
      <w:pPr>
        <w:pStyle w:val="Heading2"/>
        <w:spacing w:after="120"/>
      </w:pPr>
      <w:bookmarkStart w:id="75" w:name="_Toc370223469"/>
      <w:bookmarkStart w:id="76" w:name="_Toc100829763"/>
      <w:bookmarkStart w:id="77" w:name="_Toc103090805"/>
      <w:bookmarkStart w:id="78" w:name="_Toc103197697"/>
      <w:r>
        <w:t>1.6</w:t>
      </w:r>
      <w:r w:rsidR="007A53BF" w:rsidRPr="007A53BF">
        <w:tab/>
        <w:t>Procedure for assessment</w:t>
      </w:r>
      <w:bookmarkEnd w:id="75"/>
      <w:bookmarkEnd w:id="76"/>
      <w:bookmarkEnd w:id="77"/>
      <w:bookmarkEnd w:id="78"/>
    </w:p>
    <w:p w14:paraId="5CDA5EBF" w14:textId="63B585A0" w:rsidR="00EB2DB5" w:rsidRPr="00EB2DB5" w:rsidRDefault="00EB30ED" w:rsidP="00EB2DB5">
      <w:pPr>
        <w:widowControl/>
        <w:spacing w:before="120" w:after="120"/>
        <w:rPr>
          <w:rFonts w:cs="Arial"/>
        </w:rPr>
      </w:pPr>
      <w:r w:rsidRPr="00797034">
        <w:t xml:space="preserve">The Proposal was assessed under the </w:t>
      </w:r>
      <w:r>
        <w:t>General</w:t>
      </w:r>
      <w:r w:rsidRPr="00797034">
        <w:t xml:space="preserve"> Procedure of the </w:t>
      </w:r>
      <w:r w:rsidRPr="00133603">
        <w:rPr>
          <w:i/>
        </w:rPr>
        <w:t>Food</w:t>
      </w:r>
      <w:r w:rsidRPr="00A84A55">
        <w:rPr>
          <w:i/>
        </w:rPr>
        <w:t xml:space="preserve"> Standards Australia New Zealand</w:t>
      </w:r>
      <w:r w:rsidRPr="00CC5A4B">
        <w:rPr>
          <w:i/>
        </w:rPr>
        <w:t xml:space="preserve"> Act 1991</w:t>
      </w:r>
      <w:r>
        <w:t xml:space="preserve"> (the FSANZ Act)</w:t>
      </w:r>
      <w:r w:rsidRPr="00797034">
        <w:t>.</w:t>
      </w:r>
    </w:p>
    <w:p w14:paraId="3A78660C" w14:textId="3CD6D07C" w:rsidR="00422EC9" w:rsidRDefault="007A53BF" w:rsidP="007B4B2D">
      <w:pPr>
        <w:pStyle w:val="Heading2"/>
        <w:spacing w:after="120"/>
      </w:pPr>
      <w:bookmarkStart w:id="79" w:name="_Toc100829764"/>
      <w:bookmarkStart w:id="80" w:name="_Toc103090806"/>
      <w:bookmarkStart w:id="81" w:name="_Toc103197698"/>
      <w:r>
        <w:t>1</w:t>
      </w:r>
      <w:r w:rsidR="005E4709">
        <w:t>.7</w:t>
      </w:r>
      <w:r w:rsidR="00422EC9">
        <w:tab/>
      </w:r>
      <w:r w:rsidR="00422EC9" w:rsidRPr="00932F14">
        <w:t>Decision</w:t>
      </w:r>
      <w:bookmarkEnd w:id="79"/>
      <w:bookmarkEnd w:id="80"/>
      <w:bookmarkEnd w:id="81"/>
    </w:p>
    <w:p w14:paraId="3A03B42A" w14:textId="5287C211" w:rsidR="00D5331F" w:rsidRPr="009C4B97" w:rsidRDefault="008C70FA" w:rsidP="009C4B97">
      <w:pPr>
        <w:spacing w:before="120" w:after="120"/>
        <w:rPr>
          <w:rFonts w:cs="Arial"/>
          <w:color w:val="000000"/>
          <w:szCs w:val="22"/>
          <w:lang w:eastAsia="en-GB" w:bidi="ar-SA"/>
        </w:rPr>
      </w:pPr>
      <w:r w:rsidRPr="009C4B97">
        <w:rPr>
          <w:rFonts w:cs="Arial"/>
          <w:color w:val="000000"/>
          <w:szCs w:val="22"/>
          <w:lang w:eastAsia="en-GB" w:bidi="ar-SA"/>
        </w:rPr>
        <w:t xml:space="preserve">For the reasons listed in this report, the </w:t>
      </w:r>
      <w:r w:rsidR="00422EC9" w:rsidRPr="009C4B97">
        <w:rPr>
          <w:rFonts w:cs="Arial"/>
          <w:color w:val="000000"/>
          <w:szCs w:val="22"/>
          <w:lang w:eastAsia="en-GB" w:bidi="ar-SA"/>
        </w:rPr>
        <w:t xml:space="preserve">draft </w:t>
      </w:r>
      <w:r w:rsidR="00EB2DB5" w:rsidRPr="009C4B97">
        <w:rPr>
          <w:rFonts w:cs="Arial"/>
          <w:color w:val="000000"/>
          <w:szCs w:val="22"/>
          <w:lang w:eastAsia="en-GB" w:bidi="ar-SA"/>
        </w:rPr>
        <w:t>variation</w:t>
      </w:r>
      <w:r w:rsidR="00422EC9" w:rsidRPr="009C4B97">
        <w:rPr>
          <w:rFonts w:cs="Arial"/>
          <w:color w:val="000000"/>
          <w:szCs w:val="22"/>
          <w:lang w:eastAsia="en-GB" w:bidi="ar-SA"/>
        </w:rPr>
        <w:t xml:space="preserve"> as proposed following assessment was approved </w:t>
      </w:r>
      <w:r w:rsidR="005E58D3" w:rsidRPr="009C4B97">
        <w:rPr>
          <w:rFonts w:cs="Arial"/>
          <w:color w:val="000000"/>
          <w:szCs w:val="22"/>
          <w:lang w:eastAsia="en-GB" w:bidi="ar-SA"/>
        </w:rPr>
        <w:t>with amendments</w:t>
      </w:r>
      <w:r w:rsidR="00422EC9" w:rsidRPr="009C4B97">
        <w:rPr>
          <w:rFonts w:cs="Arial"/>
          <w:color w:val="000000"/>
          <w:szCs w:val="22"/>
          <w:lang w:eastAsia="en-GB" w:bidi="ar-SA"/>
        </w:rPr>
        <w:t>.</w:t>
      </w:r>
      <w:r w:rsidR="009777C9" w:rsidRPr="009C4B97">
        <w:rPr>
          <w:rFonts w:cs="Arial"/>
          <w:color w:val="000000"/>
          <w:szCs w:val="22"/>
          <w:lang w:eastAsia="en-GB" w:bidi="ar-SA"/>
        </w:rPr>
        <w:t xml:space="preserve"> </w:t>
      </w:r>
      <w:r w:rsidR="00D5331F" w:rsidRPr="009C4B97">
        <w:rPr>
          <w:rFonts w:cs="Arial"/>
          <w:color w:val="000000"/>
          <w:szCs w:val="22"/>
          <w:lang w:eastAsia="en-GB" w:bidi="ar-SA"/>
        </w:rPr>
        <w:t xml:space="preserve">Each of </w:t>
      </w:r>
      <w:r w:rsidR="00A255B2" w:rsidRPr="009C4B97">
        <w:rPr>
          <w:rFonts w:cs="Arial"/>
          <w:color w:val="000000"/>
          <w:szCs w:val="22"/>
          <w:lang w:eastAsia="en-GB" w:bidi="ar-SA"/>
        </w:rPr>
        <w:t>the</w:t>
      </w:r>
      <w:r w:rsidR="00EB30ED" w:rsidRPr="009C4B97">
        <w:rPr>
          <w:rFonts w:cs="Arial"/>
          <w:color w:val="000000"/>
          <w:szCs w:val="22"/>
          <w:lang w:eastAsia="en-GB" w:bidi="ar-SA"/>
        </w:rPr>
        <w:t xml:space="preserve"> amendments </w:t>
      </w:r>
      <w:r w:rsidR="00A255B2" w:rsidRPr="009C4B97">
        <w:rPr>
          <w:rFonts w:cs="Arial"/>
          <w:color w:val="000000"/>
          <w:szCs w:val="22"/>
          <w:lang w:eastAsia="en-GB" w:bidi="ar-SA"/>
        </w:rPr>
        <w:t>is</w:t>
      </w:r>
      <w:r w:rsidR="00EB30ED" w:rsidRPr="009C4B97">
        <w:rPr>
          <w:rFonts w:cs="Arial"/>
          <w:color w:val="000000"/>
          <w:szCs w:val="22"/>
          <w:lang w:eastAsia="en-GB" w:bidi="ar-SA"/>
        </w:rPr>
        <w:t xml:space="preserve"> explained in Section 2 below</w:t>
      </w:r>
      <w:r w:rsidR="009777C9" w:rsidRPr="009C4B97">
        <w:rPr>
          <w:rFonts w:cs="Arial"/>
          <w:color w:val="000000"/>
          <w:szCs w:val="22"/>
          <w:lang w:eastAsia="en-GB" w:bidi="ar-SA"/>
        </w:rPr>
        <w:t xml:space="preserve">. </w:t>
      </w:r>
    </w:p>
    <w:p w14:paraId="53A61EC6" w14:textId="1F6FBDA6" w:rsidR="002C4FB9" w:rsidRPr="009C4B97" w:rsidRDefault="009777C9" w:rsidP="009C4B97">
      <w:pPr>
        <w:spacing w:before="120" w:after="120"/>
        <w:rPr>
          <w:rFonts w:cs="Arial"/>
          <w:color w:val="000000"/>
          <w:szCs w:val="22"/>
          <w:lang w:eastAsia="en-GB" w:bidi="ar-SA"/>
        </w:rPr>
      </w:pPr>
      <w:r w:rsidRPr="009C4B97">
        <w:rPr>
          <w:rFonts w:cs="Arial"/>
          <w:color w:val="000000"/>
          <w:szCs w:val="22"/>
          <w:lang w:eastAsia="en-GB" w:bidi="ar-SA"/>
        </w:rPr>
        <w:t xml:space="preserve">The </w:t>
      </w:r>
      <w:r w:rsidR="002C1A3B" w:rsidRPr="009C4B97">
        <w:rPr>
          <w:rFonts w:cs="Arial"/>
          <w:color w:val="000000"/>
          <w:szCs w:val="22"/>
          <w:lang w:eastAsia="en-GB" w:bidi="ar-SA"/>
        </w:rPr>
        <w:t xml:space="preserve">approved </w:t>
      </w:r>
      <w:r w:rsidR="00422EC9" w:rsidRPr="009C4B97">
        <w:rPr>
          <w:rFonts w:cs="Arial"/>
          <w:color w:val="000000"/>
          <w:szCs w:val="22"/>
          <w:lang w:eastAsia="en-GB" w:bidi="ar-SA"/>
        </w:rPr>
        <w:t xml:space="preserve">draft </w:t>
      </w:r>
      <w:r w:rsidR="00EB2DB5" w:rsidRPr="009C4B97">
        <w:rPr>
          <w:rFonts w:cs="Arial"/>
          <w:color w:val="000000"/>
          <w:szCs w:val="22"/>
          <w:lang w:eastAsia="en-GB" w:bidi="ar-SA"/>
        </w:rPr>
        <w:t>variation</w:t>
      </w:r>
      <w:r w:rsidRPr="009C4B97">
        <w:rPr>
          <w:rFonts w:cs="Arial"/>
          <w:color w:val="000000"/>
          <w:szCs w:val="22"/>
          <w:lang w:eastAsia="en-GB" w:bidi="ar-SA"/>
        </w:rPr>
        <w:t xml:space="preserve"> </w:t>
      </w:r>
      <w:r w:rsidR="005E06C0" w:rsidRPr="009C4B97">
        <w:rPr>
          <w:rFonts w:cs="Arial"/>
          <w:color w:val="000000"/>
          <w:szCs w:val="22"/>
          <w:lang w:eastAsia="en-GB" w:bidi="ar-SA"/>
        </w:rPr>
        <w:t xml:space="preserve">is </w:t>
      </w:r>
      <w:r w:rsidR="00422EC9" w:rsidRPr="009C4B97">
        <w:rPr>
          <w:rFonts w:cs="Arial"/>
          <w:color w:val="000000"/>
          <w:szCs w:val="22"/>
          <w:lang w:eastAsia="en-GB" w:bidi="ar-SA"/>
        </w:rPr>
        <w:t>at Attachment A</w:t>
      </w:r>
      <w:r w:rsidR="00D5331F" w:rsidRPr="009C4B97">
        <w:rPr>
          <w:rFonts w:cs="Arial"/>
          <w:color w:val="000000"/>
          <w:szCs w:val="22"/>
          <w:lang w:eastAsia="en-GB" w:bidi="ar-SA"/>
        </w:rPr>
        <w:t xml:space="preserve"> and will take effect on gazettal</w:t>
      </w:r>
      <w:r w:rsidR="00422EC9" w:rsidRPr="009C4B97">
        <w:rPr>
          <w:rFonts w:cs="Arial"/>
          <w:color w:val="000000"/>
          <w:szCs w:val="22"/>
          <w:lang w:eastAsia="en-GB" w:bidi="ar-SA"/>
        </w:rPr>
        <w:t xml:space="preserve">. </w:t>
      </w:r>
      <w:r w:rsidR="005E06C0" w:rsidRPr="009C4B97">
        <w:rPr>
          <w:rFonts w:cs="Arial"/>
          <w:color w:val="000000"/>
          <w:szCs w:val="22"/>
          <w:lang w:eastAsia="en-GB" w:bidi="ar-SA"/>
        </w:rPr>
        <w:t xml:space="preserve">The </w:t>
      </w:r>
      <w:r w:rsidR="00401ADE" w:rsidRPr="009C4B97">
        <w:rPr>
          <w:rFonts w:cs="Arial"/>
          <w:color w:val="000000"/>
          <w:szCs w:val="22"/>
          <w:lang w:eastAsia="en-GB" w:bidi="ar-SA"/>
        </w:rPr>
        <w:t xml:space="preserve">related explanatory statement </w:t>
      </w:r>
      <w:r w:rsidR="005E06C0" w:rsidRPr="009C4B97">
        <w:rPr>
          <w:rFonts w:cs="Arial"/>
          <w:color w:val="000000"/>
          <w:szCs w:val="22"/>
          <w:lang w:eastAsia="en-GB" w:bidi="ar-SA"/>
        </w:rPr>
        <w:t xml:space="preserve">is at Attachment B. </w:t>
      </w:r>
      <w:r w:rsidR="002C1A3B" w:rsidRPr="009C4B97">
        <w:rPr>
          <w:rFonts w:cs="Arial"/>
          <w:color w:val="000000"/>
          <w:szCs w:val="22"/>
          <w:lang w:eastAsia="en-GB" w:bidi="ar-SA"/>
        </w:rPr>
        <w:t>An explanatory statement is required to accompany an instrument if it is lodged on the Federal Register of Legislati</w:t>
      </w:r>
      <w:r w:rsidR="00917C6F" w:rsidRPr="009C4B97">
        <w:rPr>
          <w:rFonts w:cs="Arial"/>
          <w:color w:val="000000"/>
          <w:szCs w:val="22"/>
          <w:lang w:eastAsia="en-GB" w:bidi="ar-SA"/>
        </w:rPr>
        <w:t>on</w:t>
      </w:r>
      <w:r w:rsidR="002C1A3B" w:rsidRPr="009C4B97">
        <w:rPr>
          <w:rFonts w:cs="Arial"/>
          <w:color w:val="000000"/>
          <w:szCs w:val="22"/>
          <w:lang w:eastAsia="en-GB" w:bidi="ar-SA"/>
        </w:rPr>
        <w:t>.</w:t>
      </w:r>
    </w:p>
    <w:p w14:paraId="1C4CC80D" w14:textId="2E266B3C" w:rsidR="009777C9" w:rsidRPr="009C4B97" w:rsidRDefault="00422EC9" w:rsidP="009C4B97">
      <w:pPr>
        <w:spacing w:before="120" w:after="120"/>
        <w:rPr>
          <w:rFonts w:cs="Arial"/>
          <w:color w:val="000000"/>
          <w:szCs w:val="22"/>
          <w:lang w:eastAsia="en-GB" w:bidi="ar-SA"/>
        </w:rPr>
      </w:pPr>
      <w:r w:rsidRPr="009C4B97">
        <w:rPr>
          <w:rFonts w:cs="Arial"/>
          <w:color w:val="000000"/>
          <w:szCs w:val="22"/>
          <w:lang w:eastAsia="en-GB" w:bidi="ar-SA"/>
        </w:rPr>
        <w:t xml:space="preserve">The draft </w:t>
      </w:r>
      <w:r w:rsidR="00E30092" w:rsidRPr="009C4B97">
        <w:rPr>
          <w:rFonts w:cs="Arial"/>
          <w:color w:val="000000"/>
          <w:szCs w:val="22"/>
          <w:lang w:eastAsia="en-GB" w:bidi="ar-SA"/>
        </w:rPr>
        <w:t>variation</w:t>
      </w:r>
      <w:r w:rsidR="008C70FA" w:rsidRPr="009C4B97">
        <w:rPr>
          <w:rFonts w:cs="Arial"/>
          <w:color w:val="000000"/>
          <w:szCs w:val="22"/>
          <w:lang w:eastAsia="en-GB" w:bidi="ar-SA"/>
        </w:rPr>
        <w:t>s</w:t>
      </w:r>
      <w:r w:rsidR="00E30092" w:rsidRPr="009C4B97">
        <w:rPr>
          <w:rFonts w:cs="Arial"/>
          <w:color w:val="000000"/>
          <w:szCs w:val="22"/>
          <w:lang w:eastAsia="en-GB" w:bidi="ar-SA"/>
        </w:rPr>
        <w:t xml:space="preserve"> </w:t>
      </w:r>
      <w:r w:rsidRPr="009C4B97">
        <w:rPr>
          <w:rFonts w:cs="Arial"/>
          <w:color w:val="000000"/>
          <w:szCs w:val="22"/>
          <w:lang w:eastAsia="en-GB" w:bidi="ar-SA"/>
        </w:rPr>
        <w:t>on which submission</w:t>
      </w:r>
      <w:r w:rsidR="009777C9" w:rsidRPr="009C4B97">
        <w:rPr>
          <w:rFonts w:cs="Arial"/>
          <w:color w:val="000000"/>
          <w:szCs w:val="22"/>
          <w:lang w:eastAsia="en-GB" w:bidi="ar-SA"/>
        </w:rPr>
        <w:t>s were sought are at Attachment</w:t>
      </w:r>
      <w:r w:rsidR="00475EAD" w:rsidRPr="009C4B97">
        <w:rPr>
          <w:rFonts w:cs="Arial"/>
          <w:color w:val="000000"/>
          <w:szCs w:val="22"/>
          <w:lang w:eastAsia="en-GB" w:bidi="ar-SA"/>
        </w:rPr>
        <w:t>s</w:t>
      </w:r>
      <w:r w:rsidR="009777C9" w:rsidRPr="009C4B97">
        <w:rPr>
          <w:rFonts w:cs="Arial"/>
          <w:color w:val="000000"/>
          <w:szCs w:val="22"/>
          <w:lang w:eastAsia="en-GB" w:bidi="ar-SA"/>
        </w:rPr>
        <w:t xml:space="preserve"> C and D</w:t>
      </w:r>
      <w:r w:rsidRPr="009C4B97">
        <w:rPr>
          <w:rFonts w:cs="Arial"/>
          <w:color w:val="000000"/>
          <w:szCs w:val="22"/>
          <w:lang w:eastAsia="en-GB" w:bidi="ar-SA"/>
        </w:rPr>
        <w:t>.</w:t>
      </w:r>
      <w:r w:rsidR="002C1A3B" w:rsidRPr="009C4B97">
        <w:rPr>
          <w:rFonts w:cs="Arial"/>
          <w:color w:val="000000"/>
          <w:szCs w:val="22"/>
          <w:lang w:eastAsia="en-GB" w:bidi="ar-SA"/>
        </w:rPr>
        <w:t xml:space="preserve"> </w:t>
      </w:r>
    </w:p>
    <w:p w14:paraId="0352D4A0" w14:textId="77777777" w:rsidR="0012388D" w:rsidRDefault="007A53BF" w:rsidP="007B4B2D">
      <w:pPr>
        <w:pStyle w:val="Heading1"/>
        <w:spacing w:after="120"/>
      </w:pPr>
      <w:bookmarkStart w:id="82" w:name="_Toc100829765"/>
      <w:bookmarkStart w:id="83" w:name="_Toc103090807"/>
      <w:bookmarkStart w:id="84" w:name="_Toc103197699"/>
      <w:bookmarkStart w:id="85" w:name="_Toc11735630"/>
      <w:bookmarkStart w:id="86" w:name="_Toc29883114"/>
      <w:bookmarkStart w:id="87" w:name="_Toc41906801"/>
      <w:bookmarkStart w:id="88" w:name="_Toc41907548"/>
      <w:bookmarkStart w:id="89" w:name="_Toc120358578"/>
      <w:bookmarkStart w:id="90" w:name="_Toc175381435"/>
      <w:bookmarkEnd w:id="7"/>
      <w:bookmarkEnd w:id="8"/>
      <w:bookmarkEnd w:id="9"/>
      <w:bookmarkEnd w:id="10"/>
      <w:bookmarkEnd w:id="11"/>
      <w:r>
        <w:t>2</w:t>
      </w:r>
      <w:r w:rsidR="00AC428E">
        <w:tab/>
      </w:r>
      <w:r w:rsidR="00AF387F" w:rsidRPr="00CC560B">
        <w:t xml:space="preserve">Summary </w:t>
      </w:r>
      <w:r w:rsidR="00AF387F" w:rsidRPr="000B6AF2">
        <w:rPr>
          <w:u w:color="FFFF00"/>
        </w:rPr>
        <w:t>of</w:t>
      </w:r>
      <w:r w:rsidR="00AF387F" w:rsidRPr="00CC560B">
        <w:t xml:space="preserve"> the findings</w:t>
      </w:r>
      <w:bookmarkEnd w:id="82"/>
      <w:bookmarkEnd w:id="83"/>
      <w:bookmarkEnd w:id="84"/>
    </w:p>
    <w:p w14:paraId="251D6944" w14:textId="6DCA725E" w:rsidR="00455584" w:rsidRDefault="008F17CC" w:rsidP="00EB2DB5">
      <w:pPr>
        <w:rPr>
          <w:lang w:bidi="ar-SA"/>
        </w:rPr>
      </w:pPr>
      <w:bookmarkStart w:id="91" w:name="_Toc300933438"/>
      <w:bookmarkStart w:id="92" w:name="_Toc370223471"/>
      <w:bookmarkStart w:id="93" w:name="_Toc370225386"/>
      <w:bookmarkStart w:id="94" w:name="_Toc286391009"/>
      <w:bookmarkStart w:id="95" w:name="_Toc300933425"/>
      <w:bookmarkStart w:id="96" w:name="_Toc309291838"/>
      <w:bookmarkStart w:id="97" w:name="_Toc309385455"/>
      <w:bookmarkStart w:id="98" w:name="_Toc120358583"/>
      <w:bookmarkStart w:id="99" w:name="_Toc175381440"/>
      <w:r>
        <w:rPr>
          <w:lang w:bidi="ar-SA"/>
        </w:rPr>
        <w:t xml:space="preserve">In making its decision, </w:t>
      </w:r>
      <w:r w:rsidR="00455584">
        <w:rPr>
          <w:lang w:bidi="ar-SA"/>
        </w:rPr>
        <w:t xml:space="preserve">FSANZ had regard to submissions received in 2014 on the draft variation and to submissions received in 2021 on </w:t>
      </w:r>
      <w:r w:rsidR="008C70FA">
        <w:rPr>
          <w:lang w:bidi="ar-SA"/>
        </w:rPr>
        <w:t xml:space="preserve">a proposed </w:t>
      </w:r>
      <w:r w:rsidR="00455584">
        <w:rPr>
          <w:lang w:bidi="ar-SA"/>
        </w:rPr>
        <w:t xml:space="preserve">amended </w:t>
      </w:r>
      <w:r w:rsidR="008C70FA">
        <w:rPr>
          <w:lang w:bidi="ar-SA"/>
        </w:rPr>
        <w:t xml:space="preserve">version of that </w:t>
      </w:r>
      <w:r w:rsidR="00455584">
        <w:rPr>
          <w:lang w:bidi="ar-SA"/>
        </w:rPr>
        <w:t>draft variation.</w:t>
      </w:r>
    </w:p>
    <w:p w14:paraId="4D7A5ABD" w14:textId="05BF6F85" w:rsidR="00455584" w:rsidRPr="009C4B97" w:rsidRDefault="00455584" w:rsidP="009C4B97">
      <w:pPr>
        <w:pStyle w:val="Heading2"/>
        <w:spacing w:after="120"/>
      </w:pPr>
      <w:bookmarkStart w:id="100" w:name="_Toc103090808"/>
      <w:bookmarkStart w:id="101" w:name="_Toc103197700"/>
      <w:r w:rsidRPr="00455584">
        <w:t xml:space="preserve">2.1 </w:t>
      </w:r>
      <w:r w:rsidRPr="00455584">
        <w:tab/>
      </w:r>
      <w:r w:rsidRPr="009C4B97">
        <w:t>Summary of the 2014 submissions</w:t>
      </w:r>
      <w:bookmarkEnd w:id="100"/>
      <w:bookmarkEnd w:id="101"/>
      <w:r w:rsidRPr="009C4B97" w:rsidDel="00455584">
        <w:t xml:space="preserve"> </w:t>
      </w:r>
    </w:p>
    <w:p w14:paraId="43E5B439" w14:textId="22CBDE1E" w:rsidR="000F1A95" w:rsidRDefault="00455584" w:rsidP="00C76679">
      <w:pPr>
        <w:rPr>
          <w:b/>
        </w:rPr>
      </w:pPr>
      <w:r w:rsidRPr="0062736F">
        <w:rPr>
          <w:rFonts w:cs="Arial"/>
          <w:szCs w:val="22"/>
        </w:rPr>
        <w:t xml:space="preserve">FSANZ received 39 responses to </w:t>
      </w:r>
      <w:r>
        <w:rPr>
          <w:rFonts w:cs="Arial"/>
          <w:szCs w:val="22"/>
        </w:rPr>
        <w:t xml:space="preserve">the P1030 2014 </w:t>
      </w:r>
      <w:r w:rsidR="00BC2093">
        <w:rPr>
          <w:rFonts w:cs="Arial"/>
          <w:szCs w:val="22"/>
        </w:rPr>
        <w:t>Call for Submissions</w:t>
      </w:r>
      <w:r>
        <w:rPr>
          <w:rFonts w:cs="Arial"/>
          <w:szCs w:val="22"/>
        </w:rPr>
        <w:t xml:space="preserve">. The issues raised are </w:t>
      </w:r>
      <w:r w:rsidR="00833A96">
        <w:rPr>
          <w:rFonts w:cs="Arial"/>
          <w:szCs w:val="22"/>
        </w:rPr>
        <w:t>detailed</w:t>
      </w:r>
      <w:r>
        <w:rPr>
          <w:rFonts w:cs="Arial"/>
          <w:szCs w:val="22"/>
        </w:rPr>
        <w:t xml:space="preserve"> </w:t>
      </w:r>
      <w:r w:rsidR="00891937">
        <w:rPr>
          <w:rFonts w:cs="Arial"/>
          <w:szCs w:val="22"/>
        </w:rPr>
        <w:t>and considered in</w:t>
      </w:r>
      <w:r>
        <w:rPr>
          <w:rFonts w:cs="Arial"/>
          <w:szCs w:val="22"/>
        </w:rPr>
        <w:t xml:space="preserve"> the </w:t>
      </w:r>
      <w:r w:rsidR="00833A96">
        <w:rPr>
          <w:rFonts w:cs="Arial"/>
          <w:szCs w:val="22"/>
        </w:rPr>
        <w:t xml:space="preserve">2021 </w:t>
      </w:r>
      <w:r>
        <w:rPr>
          <w:rFonts w:cs="Arial"/>
          <w:szCs w:val="22"/>
        </w:rPr>
        <w:t xml:space="preserve">Consultation Paper </w:t>
      </w:r>
      <w:r w:rsidR="00891937">
        <w:rPr>
          <w:rFonts w:cs="Arial"/>
          <w:szCs w:val="22"/>
        </w:rPr>
        <w:t xml:space="preserve">(see Table 2 </w:t>
      </w:r>
      <w:r w:rsidR="00833A96">
        <w:rPr>
          <w:rFonts w:cs="Arial"/>
          <w:szCs w:val="22"/>
        </w:rPr>
        <w:t xml:space="preserve">and </w:t>
      </w:r>
      <w:r w:rsidR="00475EAD">
        <w:rPr>
          <w:rFonts w:cs="Arial"/>
          <w:szCs w:val="22"/>
        </w:rPr>
        <w:t>S</w:t>
      </w:r>
      <w:r w:rsidR="00833A96">
        <w:rPr>
          <w:rFonts w:cs="Arial"/>
          <w:szCs w:val="22"/>
        </w:rPr>
        <w:t xml:space="preserve">ection 2.3 </w:t>
      </w:r>
      <w:r w:rsidR="00891937">
        <w:rPr>
          <w:rFonts w:cs="Arial"/>
          <w:szCs w:val="22"/>
        </w:rPr>
        <w:t xml:space="preserve">of that Paper). They are also </w:t>
      </w:r>
      <w:r>
        <w:rPr>
          <w:rFonts w:cs="Arial"/>
          <w:szCs w:val="22"/>
        </w:rPr>
        <w:t>considered below.</w:t>
      </w:r>
      <w:r w:rsidR="000F1A95">
        <w:rPr>
          <w:b/>
        </w:rPr>
        <w:br w:type="page"/>
      </w:r>
    </w:p>
    <w:p w14:paraId="1C70400D" w14:textId="46D06855" w:rsidR="00455584" w:rsidRPr="009C4B97" w:rsidRDefault="00455584" w:rsidP="009C4B97">
      <w:pPr>
        <w:pStyle w:val="Heading2"/>
        <w:spacing w:after="120"/>
      </w:pPr>
      <w:bookmarkStart w:id="102" w:name="_Toc103090809"/>
      <w:bookmarkStart w:id="103" w:name="_Toc103197701"/>
      <w:r w:rsidRPr="00891937">
        <w:lastRenderedPageBreak/>
        <w:t>2.2</w:t>
      </w:r>
      <w:r>
        <w:tab/>
      </w:r>
      <w:r w:rsidRPr="009C4B97">
        <w:t>Summary of the 2021 submissions</w:t>
      </w:r>
      <w:bookmarkEnd w:id="102"/>
      <w:bookmarkEnd w:id="103"/>
      <w:r w:rsidRPr="009C4B97" w:rsidDel="00455584">
        <w:t xml:space="preserve"> </w:t>
      </w:r>
    </w:p>
    <w:p w14:paraId="262B52B3" w14:textId="1392930C" w:rsidR="00E67C5C" w:rsidRDefault="00EB2DB5" w:rsidP="00EB2DB5">
      <w:pPr>
        <w:rPr>
          <w:lang w:bidi="ar-SA"/>
        </w:rPr>
      </w:pPr>
      <w:r>
        <w:t xml:space="preserve">A total of </w:t>
      </w:r>
      <w:r w:rsidR="003D103E">
        <w:t xml:space="preserve">17 </w:t>
      </w:r>
      <w:r>
        <w:t>submissions were received</w:t>
      </w:r>
      <w:r w:rsidR="00455584">
        <w:t xml:space="preserve"> in response to the 2021 Consultation Paper</w:t>
      </w:r>
      <w:r>
        <w:t xml:space="preserve">: seven </w:t>
      </w:r>
      <w:r w:rsidRPr="00064D59">
        <w:t xml:space="preserve">from </w:t>
      </w:r>
      <w:r>
        <w:t xml:space="preserve">the </w:t>
      </w:r>
      <w:r w:rsidRPr="00064D59">
        <w:t>industry</w:t>
      </w:r>
      <w:r>
        <w:t xml:space="preserve"> sector</w:t>
      </w:r>
      <w:r w:rsidRPr="00064D59">
        <w:t xml:space="preserve">, </w:t>
      </w:r>
      <w:r>
        <w:t>five from public health</w:t>
      </w:r>
      <w:r w:rsidRPr="00064D59">
        <w:t xml:space="preserve"> </w:t>
      </w:r>
      <w:r>
        <w:t xml:space="preserve">groups </w:t>
      </w:r>
      <w:r w:rsidRPr="00064D59">
        <w:t xml:space="preserve">and </w:t>
      </w:r>
      <w:r>
        <w:t>five from g</w:t>
      </w:r>
      <w:r w:rsidRPr="00064D59">
        <w:t>overnment</w:t>
      </w:r>
      <w:r>
        <w:t xml:space="preserve"> agencies</w:t>
      </w:r>
      <w:r w:rsidRPr="00064D59">
        <w:t xml:space="preserve">. </w:t>
      </w:r>
      <w:r w:rsidRPr="00064D59">
        <w:rPr>
          <w:lang w:bidi="ar-SA"/>
        </w:rPr>
        <w:t>The</w:t>
      </w:r>
      <w:r>
        <w:rPr>
          <w:lang w:bidi="ar-SA"/>
        </w:rPr>
        <w:t xml:space="preserve"> relevant documents and submissions received are published on the FSANZ website</w:t>
      </w:r>
      <w:r w:rsidR="009777C9">
        <w:rPr>
          <w:lang w:bidi="ar-SA"/>
        </w:rPr>
        <w:t>.</w:t>
      </w:r>
    </w:p>
    <w:p w14:paraId="06ED5EC2" w14:textId="4C0B8874" w:rsidR="00EB2DB5" w:rsidRPr="00E67C5C" w:rsidRDefault="003D103E" w:rsidP="00E67C5C">
      <w:pPr>
        <w:widowControl/>
        <w:spacing w:before="120" w:after="120"/>
        <w:rPr>
          <w:bCs/>
        </w:rPr>
      </w:pPr>
      <w:r>
        <w:rPr>
          <w:bCs/>
        </w:rPr>
        <w:t xml:space="preserve">In general, submitters supported use of </w:t>
      </w:r>
      <w:r w:rsidR="00D05DF0">
        <w:rPr>
          <w:bCs/>
        </w:rPr>
        <w:t>the term ‘</w:t>
      </w:r>
      <w:r w:rsidR="001F62AE">
        <w:rPr>
          <w:bCs/>
        </w:rPr>
        <w:t>electrolyte drink</w:t>
      </w:r>
      <w:r w:rsidR="00D05DF0">
        <w:rPr>
          <w:bCs/>
        </w:rPr>
        <w:t>’</w:t>
      </w:r>
      <w:r w:rsidR="001F62AE">
        <w:rPr>
          <w:bCs/>
        </w:rPr>
        <w:t xml:space="preserve"> as a prescribed name; </w:t>
      </w:r>
      <w:r w:rsidR="00EB2DB5">
        <w:rPr>
          <w:bCs/>
        </w:rPr>
        <w:t>r</w:t>
      </w:r>
      <w:r w:rsidR="00EB2DB5" w:rsidRPr="00E67C5C">
        <w:rPr>
          <w:bCs/>
        </w:rPr>
        <w:t xml:space="preserve">emoval of the term </w:t>
      </w:r>
      <w:r w:rsidR="00D05DF0">
        <w:rPr>
          <w:bCs/>
        </w:rPr>
        <w:t>‘</w:t>
      </w:r>
      <w:r w:rsidR="00EB2DB5" w:rsidRPr="00E67C5C">
        <w:rPr>
          <w:bCs/>
        </w:rPr>
        <w:t>minerals</w:t>
      </w:r>
      <w:r w:rsidR="00D05DF0">
        <w:rPr>
          <w:bCs/>
        </w:rPr>
        <w:t>’</w:t>
      </w:r>
      <w:r w:rsidR="00EB2DB5" w:rsidRPr="00E67C5C">
        <w:rPr>
          <w:bCs/>
        </w:rPr>
        <w:t xml:space="preserve"> from the definition of electrolyte drinks; listin</w:t>
      </w:r>
      <w:r w:rsidR="009C4B97">
        <w:rPr>
          <w:bCs/>
        </w:rPr>
        <w:t>g mineral</w:t>
      </w:r>
      <w:r w:rsidR="00EB2DB5" w:rsidRPr="00E67C5C">
        <w:rPr>
          <w:bCs/>
        </w:rPr>
        <w:t xml:space="preserve"> salts as electrolytes; amending osmolality requirements; and updating requirements for providing nutrition information. </w:t>
      </w:r>
      <w:r w:rsidR="00A844D0">
        <w:rPr>
          <w:bCs/>
        </w:rPr>
        <w:t>For all other issues, including the</w:t>
      </w:r>
      <w:r>
        <w:rPr>
          <w:bCs/>
        </w:rPr>
        <w:t xml:space="preserve"> regulation of nutrition content and health claims, stakeholder views were divergent </w:t>
      </w:r>
      <w:r w:rsidR="00EB2DB5" w:rsidRPr="00D001B6">
        <w:rPr>
          <w:bCs/>
        </w:rPr>
        <w:t xml:space="preserve">across and within </w:t>
      </w:r>
      <w:r w:rsidR="0082449E">
        <w:rPr>
          <w:bCs/>
        </w:rPr>
        <w:t>different</w:t>
      </w:r>
      <w:r w:rsidRPr="00D001B6">
        <w:rPr>
          <w:bCs/>
        </w:rPr>
        <w:t xml:space="preserve"> </w:t>
      </w:r>
      <w:r w:rsidR="00EB2DB5" w:rsidRPr="00D001B6">
        <w:rPr>
          <w:bCs/>
        </w:rPr>
        <w:t>sectors</w:t>
      </w:r>
      <w:r>
        <w:rPr>
          <w:bCs/>
        </w:rPr>
        <w:t>.</w:t>
      </w:r>
    </w:p>
    <w:p w14:paraId="495C9BB1" w14:textId="627AB819" w:rsidR="00EB2DB5" w:rsidRPr="00E67C5C" w:rsidRDefault="00EB2DB5" w:rsidP="00E67C5C">
      <w:pPr>
        <w:widowControl/>
        <w:spacing w:before="120" w:after="120"/>
        <w:rPr>
          <w:bCs/>
        </w:rPr>
      </w:pPr>
      <w:r w:rsidRPr="00E67C5C">
        <w:rPr>
          <w:bCs/>
        </w:rPr>
        <w:t xml:space="preserve">The issues raised in </w:t>
      </w:r>
      <w:r w:rsidR="00891937">
        <w:rPr>
          <w:bCs/>
        </w:rPr>
        <w:t xml:space="preserve">the 2021 </w:t>
      </w:r>
      <w:r w:rsidRPr="00E67C5C">
        <w:rPr>
          <w:bCs/>
        </w:rPr>
        <w:t>submissions and the FSANZ response are provided in Table 1.</w:t>
      </w:r>
    </w:p>
    <w:p w14:paraId="1747511A" w14:textId="77777777" w:rsidR="002F3387" w:rsidRDefault="002F3387" w:rsidP="007B4B2D">
      <w:pPr>
        <w:pStyle w:val="Heading2"/>
        <w:spacing w:after="120"/>
        <w:sectPr w:rsidR="002F3387" w:rsidSect="00EB576F">
          <w:pgSz w:w="11906" w:h="16838" w:code="9"/>
          <w:pgMar w:top="1418" w:right="1418" w:bottom="1418" w:left="1418" w:header="709" w:footer="709" w:gutter="0"/>
          <w:pgNumType w:start="1"/>
          <w:cols w:space="708"/>
          <w:docGrid w:linePitch="360"/>
        </w:sectPr>
      </w:pPr>
      <w:bookmarkStart w:id="104" w:name="_Toc100829766"/>
    </w:p>
    <w:bookmarkEnd w:id="91"/>
    <w:bookmarkEnd w:id="92"/>
    <w:bookmarkEnd w:id="93"/>
    <w:bookmarkEnd w:id="104"/>
    <w:p w14:paraId="18C1EE36" w14:textId="7584985B" w:rsidR="007A53BF" w:rsidRPr="00B853D2" w:rsidRDefault="007A53BF" w:rsidP="007B4B2D">
      <w:pPr>
        <w:pStyle w:val="FSTableTitle"/>
        <w:spacing w:after="120"/>
      </w:pPr>
      <w:r>
        <w:lastRenderedPageBreak/>
        <w:t xml:space="preserve">Table 1: Summary of issues </w:t>
      </w:r>
      <w:r w:rsidR="00C76679">
        <w:t xml:space="preserve">from 2021 submissions </w:t>
      </w:r>
    </w:p>
    <w:tbl>
      <w:tblPr>
        <w:tblStyle w:val="MediumShading1-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issues from 2021 submissions "/>
        <w:tblDescription w:val="Table 1 outlines the summary of issues from 2021 submissions "/>
      </w:tblPr>
      <w:tblGrid>
        <w:gridCol w:w="4659"/>
        <w:gridCol w:w="4307"/>
        <w:gridCol w:w="5026"/>
      </w:tblGrid>
      <w:tr w:rsidR="007A53BF" w:rsidRPr="00B14F2A" w14:paraId="4B52FAAC" w14:textId="77777777" w:rsidTr="002F338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65" w:type="pct"/>
            <w:tcBorders>
              <w:top w:val="none" w:sz="0" w:space="0" w:color="auto"/>
              <w:left w:val="none" w:sz="0" w:space="0" w:color="auto"/>
              <w:bottom w:val="none" w:sz="0" w:space="0" w:color="auto"/>
              <w:right w:val="none" w:sz="0" w:space="0" w:color="auto"/>
            </w:tcBorders>
          </w:tcPr>
          <w:p w14:paraId="62DC5C4A" w14:textId="25D08DB0" w:rsidR="007A53BF" w:rsidRPr="00B14F2A" w:rsidRDefault="007A53BF" w:rsidP="00AC70AF">
            <w:pPr>
              <w:pStyle w:val="FSCtblMain"/>
              <w:tabs>
                <w:tab w:val="clear" w:pos="3969"/>
                <w:tab w:val="left" w:pos="999"/>
              </w:tabs>
              <w:spacing w:before="29" w:after="29"/>
              <w:rPr>
                <w:b w:val="0"/>
                <w:sz w:val="20"/>
              </w:rPr>
            </w:pPr>
            <w:r w:rsidRPr="00B14F2A">
              <w:rPr>
                <w:sz w:val="20"/>
              </w:rPr>
              <w:t>Issue</w:t>
            </w:r>
            <w:r w:rsidR="00AC70AF" w:rsidRPr="00B14F2A">
              <w:rPr>
                <w:sz w:val="20"/>
              </w:rPr>
              <w:tab/>
            </w:r>
          </w:p>
        </w:tc>
        <w:tc>
          <w:tcPr>
            <w:tcW w:w="1539" w:type="pct"/>
            <w:tcBorders>
              <w:top w:val="none" w:sz="0" w:space="0" w:color="auto"/>
              <w:left w:val="none" w:sz="0" w:space="0" w:color="auto"/>
              <w:bottom w:val="none" w:sz="0" w:space="0" w:color="auto"/>
              <w:right w:val="none" w:sz="0" w:space="0" w:color="auto"/>
            </w:tcBorders>
          </w:tcPr>
          <w:p w14:paraId="3ACD7872" w14:textId="77777777" w:rsidR="007A53BF" w:rsidRPr="00B14F2A" w:rsidRDefault="007A53BF" w:rsidP="002B7876">
            <w:pPr>
              <w:pStyle w:val="FSCtblMain"/>
              <w:tabs>
                <w:tab w:val="clear" w:pos="3969"/>
                <w:tab w:val="right" w:pos="1944"/>
              </w:tabs>
              <w:spacing w:before="29" w:after="29"/>
              <w:cnfStyle w:val="100000000000" w:firstRow="1" w:lastRow="0" w:firstColumn="0" w:lastColumn="0" w:oddVBand="0" w:evenVBand="0" w:oddHBand="0" w:evenHBand="0" w:firstRowFirstColumn="0" w:firstRowLastColumn="0" w:lastRowFirstColumn="0" w:lastRowLastColumn="0"/>
              <w:rPr>
                <w:b w:val="0"/>
                <w:sz w:val="20"/>
              </w:rPr>
            </w:pPr>
            <w:r w:rsidRPr="00B14F2A">
              <w:rPr>
                <w:sz w:val="20"/>
              </w:rPr>
              <w:t>Raised by</w:t>
            </w:r>
          </w:p>
        </w:tc>
        <w:tc>
          <w:tcPr>
            <w:tcW w:w="1796" w:type="pct"/>
            <w:tcBorders>
              <w:top w:val="none" w:sz="0" w:space="0" w:color="auto"/>
              <w:left w:val="none" w:sz="0" w:space="0" w:color="auto"/>
              <w:bottom w:val="none" w:sz="0" w:space="0" w:color="auto"/>
              <w:right w:val="none" w:sz="0" w:space="0" w:color="auto"/>
            </w:tcBorders>
          </w:tcPr>
          <w:p w14:paraId="77928706" w14:textId="1AE5D208" w:rsidR="001D43F6" w:rsidRPr="00B14F2A" w:rsidRDefault="007A53BF" w:rsidP="002B7876">
            <w:pPr>
              <w:pStyle w:val="FSCtblMain"/>
              <w:tabs>
                <w:tab w:val="clear" w:pos="3969"/>
                <w:tab w:val="right" w:pos="1944"/>
              </w:tabs>
              <w:spacing w:before="29" w:after="29"/>
              <w:cnfStyle w:val="100000000000" w:firstRow="1" w:lastRow="0" w:firstColumn="0" w:lastColumn="0" w:oddVBand="0" w:evenVBand="0" w:oddHBand="0" w:evenHBand="0" w:firstRowFirstColumn="0" w:firstRowLastColumn="0" w:lastRowFirstColumn="0" w:lastRowLastColumn="0"/>
              <w:rPr>
                <w:b w:val="0"/>
                <w:sz w:val="20"/>
              </w:rPr>
            </w:pPr>
            <w:r w:rsidRPr="00B14F2A">
              <w:rPr>
                <w:sz w:val="20"/>
              </w:rPr>
              <w:t>FSANZ response</w:t>
            </w:r>
            <w:r w:rsidR="001D43F6" w:rsidRPr="00B14F2A">
              <w:rPr>
                <w:b w:val="0"/>
                <w:sz w:val="20"/>
              </w:rPr>
              <w:t xml:space="preserve"> </w:t>
            </w:r>
          </w:p>
        </w:tc>
      </w:tr>
      <w:tr w:rsidR="00D66365" w:rsidRPr="00B14F2A" w14:paraId="449E6FAA" w14:textId="77777777" w:rsidTr="002F33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auto"/>
            </w:tcBorders>
          </w:tcPr>
          <w:p w14:paraId="37559014" w14:textId="4D9F860F" w:rsidR="00D66365" w:rsidRPr="00B14F2A" w:rsidRDefault="00D66365" w:rsidP="00AC70AF">
            <w:pPr>
              <w:pStyle w:val="FSCtblMain"/>
              <w:tabs>
                <w:tab w:val="clear" w:pos="3969"/>
                <w:tab w:val="right" w:pos="1944"/>
              </w:tabs>
              <w:spacing w:before="29" w:after="29"/>
              <w:rPr>
                <w:sz w:val="20"/>
              </w:rPr>
            </w:pPr>
            <w:r w:rsidRPr="00B14F2A">
              <w:rPr>
                <w:sz w:val="20"/>
              </w:rPr>
              <w:t xml:space="preserve">Code </w:t>
            </w:r>
            <w:r w:rsidR="00302104" w:rsidRPr="00B14F2A">
              <w:rPr>
                <w:sz w:val="20"/>
              </w:rPr>
              <w:t>placement</w:t>
            </w:r>
          </w:p>
        </w:tc>
      </w:tr>
      <w:tr w:rsidR="00EB2DB5" w14:paraId="2A003EEA" w14:textId="77777777" w:rsidTr="00D927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5" w:type="pct"/>
            <w:tcBorders>
              <w:right w:val="single" w:sz="4" w:space="0" w:color="auto"/>
            </w:tcBorders>
          </w:tcPr>
          <w:p w14:paraId="3DD9E9E2" w14:textId="1676BC01" w:rsidR="00EB2DB5" w:rsidRDefault="00EB2DB5" w:rsidP="002B7876">
            <w:pPr>
              <w:pStyle w:val="FSCtblMain"/>
              <w:tabs>
                <w:tab w:val="clear" w:pos="3969"/>
                <w:tab w:val="right" w:pos="1944"/>
              </w:tabs>
              <w:spacing w:before="29" w:after="29"/>
              <w:rPr>
                <w:b w:val="0"/>
                <w:color w:val="000000"/>
                <w:sz w:val="20"/>
              </w:rPr>
            </w:pPr>
            <w:r w:rsidRPr="00E244A2">
              <w:rPr>
                <w:b w:val="0"/>
                <w:color w:val="000000"/>
                <w:sz w:val="20"/>
              </w:rPr>
              <w:t xml:space="preserve">Regard </w:t>
            </w:r>
            <w:r w:rsidR="00A4171C" w:rsidRPr="00E244A2">
              <w:rPr>
                <w:b w:val="0"/>
                <w:color w:val="000000"/>
                <w:sz w:val="20"/>
              </w:rPr>
              <w:t>electrolyte drink</w:t>
            </w:r>
            <w:r w:rsidRPr="00E244A2">
              <w:rPr>
                <w:b w:val="0"/>
                <w:color w:val="000000"/>
                <w:sz w:val="20"/>
              </w:rPr>
              <w:t>s as special purpose/functional foods whose requirements align more closely with existing provisions contained within Standard 2.9.4.</w:t>
            </w:r>
          </w:p>
          <w:p w14:paraId="597F1E69" w14:textId="77777777" w:rsidR="00107B17" w:rsidRDefault="00107B17" w:rsidP="002B7876">
            <w:pPr>
              <w:pStyle w:val="FSCtblMain"/>
              <w:tabs>
                <w:tab w:val="clear" w:pos="3969"/>
                <w:tab w:val="right" w:pos="1944"/>
              </w:tabs>
              <w:spacing w:before="29" w:after="29"/>
              <w:rPr>
                <w:b w:val="0"/>
                <w:color w:val="000000"/>
                <w:sz w:val="20"/>
              </w:rPr>
            </w:pPr>
          </w:p>
          <w:p w14:paraId="2573BD6F" w14:textId="53C18B38" w:rsidR="00107B17" w:rsidRPr="00E244A2" w:rsidRDefault="00107B17" w:rsidP="002B7876">
            <w:pPr>
              <w:pStyle w:val="FSCtblMain"/>
              <w:tabs>
                <w:tab w:val="clear" w:pos="3969"/>
                <w:tab w:val="right" w:pos="1944"/>
              </w:tabs>
              <w:spacing w:before="29" w:after="29"/>
              <w:rPr>
                <w:b w:val="0"/>
                <w:sz w:val="20"/>
              </w:rPr>
            </w:pPr>
            <w:r>
              <w:rPr>
                <w:b w:val="0"/>
                <w:sz w:val="20"/>
              </w:rPr>
              <w:t xml:space="preserve">Do not support Health Star Rating (HSR) on electrolyte drinks – HSR can be used if they remain in Standard 2.6.2. </w:t>
            </w:r>
          </w:p>
          <w:p w14:paraId="0D2EA481" w14:textId="77777777" w:rsidR="00EB2DB5" w:rsidRPr="00E244A2" w:rsidRDefault="00EB2DB5" w:rsidP="002B7876">
            <w:pPr>
              <w:pStyle w:val="FSCtblMain"/>
              <w:tabs>
                <w:tab w:val="clear" w:pos="3969"/>
                <w:tab w:val="right" w:pos="1944"/>
              </w:tabs>
              <w:spacing w:before="29" w:after="29"/>
              <w:rPr>
                <w:sz w:val="20"/>
              </w:rPr>
            </w:pPr>
          </w:p>
        </w:tc>
        <w:tc>
          <w:tcPr>
            <w:tcW w:w="1539" w:type="pct"/>
            <w:tcBorders>
              <w:left w:val="single" w:sz="4" w:space="0" w:color="auto"/>
              <w:right w:val="single" w:sz="4" w:space="0" w:color="auto"/>
            </w:tcBorders>
          </w:tcPr>
          <w:p w14:paraId="2F06828A" w14:textId="77777777" w:rsidR="00EB2DB5" w:rsidRPr="00E244A2" w:rsidRDefault="00EB2DB5"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sz w:val="20"/>
              </w:rPr>
              <w:t>Victorian Department of Health</w:t>
            </w:r>
          </w:p>
          <w:p w14:paraId="27CAB47D" w14:textId="77777777" w:rsidR="00EB2DB5" w:rsidRPr="00E244A2" w:rsidRDefault="00EB2DB5"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sz w:val="20"/>
              </w:rPr>
              <w:t xml:space="preserve">Western Australia Department of Health </w:t>
            </w:r>
          </w:p>
          <w:p w14:paraId="267AD669" w14:textId="77777777" w:rsidR="00EB2DB5" w:rsidRPr="00E244A2" w:rsidRDefault="00EB2DB5"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 xml:space="preserve">New Zealand Food Safety </w:t>
            </w:r>
          </w:p>
          <w:p w14:paraId="51803A0F" w14:textId="77777777" w:rsidR="00EB2DB5" w:rsidRPr="00E244A2" w:rsidRDefault="00EB2DB5"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sz w:val="20"/>
              </w:rPr>
              <w:t>New Zealand Food and Grocery Council</w:t>
            </w:r>
          </w:p>
          <w:p w14:paraId="516990E0" w14:textId="1E2813C2" w:rsidR="00812C36" w:rsidRPr="00E244A2" w:rsidRDefault="00107B17"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sz w:val="20"/>
              </w:rPr>
            </w:pPr>
            <w:r>
              <w:rPr>
                <w:sz w:val="20"/>
              </w:rPr>
              <w:t xml:space="preserve">Tasmanian Department of Health </w:t>
            </w:r>
          </w:p>
          <w:p w14:paraId="7B1650E0" w14:textId="65B58B45" w:rsidR="00EB2DB5" w:rsidRPr="00E244A2" w:rsidRDefault="00EB2DB5" w:rsidP="00AC70AF">
            <w:pPr>
              <w:cnfStyle w:val="000000010000" w:firstRow="0" w:lastRow="0" w:firstColumn="0" w:lastColumn="0" w:oddVBand="0" w:evenVBand="0" w:oddHBand="0" w:evenHBand="1" w:firstRowFirstColumn="0" w:firstRowLastColumn="0" w:lastRowFirstColumn="0" w:lastRowLastColumn="0"/>
              <w:rPr>
                <w:sz w:val="20"/>
                <w:szCs w:val="20"/>
                <w:lang w:eastAsia="en-AU" w:bidi="ar-SA"/>
              </w:rPr>
            </w:pPr>
          </w:p>
        </w:tc>
        <w:tc>
          <w:tcPr>
            <w:tcW w:w="1796" w:type="pct"/>
            <w:tcBorders>
              <w:left w:val="single" w:sz="4" w:space="0" w:color="auto"/>
            </w:tcBorders>
          </w:tcPr>
          <w:p w14:paraId="3F4028F7" w14:textId="0388EF09" w:rsidR="00EB2DB5" w:rsidRPr="001F38A4" w:rsidRDefault="00EB2DB5"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1F38A4">
              <w:rPr>
                <w:color w:val="000000"/>
                <w:sz w:val="20"/>
              </w:rPr>
              <w:t>FSANZ</w:t>
            </w:r>
            <w:r w:rsidR="00891937" w:rsidRPr="001F38A4">
              <w:rPr>
                <w:color w:val="000000"/>
                <w:sz w:val="20"/>
              </w:rPr>
              <w:t xml:space="preserve">’s position </w:t>
            </w:r>
            <w:r w:rsidR="001F38A4" w:rsidRPr="001F38A4">
              <w:rPr>
                <w:color w:val="000000"/>
                <w:sz w:val="20"/>
              </w:rPr>
              <w:t xml:space="preserve">is to retain </w:t>
            </w:r>
            <w:r w:rsidRPr="001F38A4">
              <w:rPr>
                <w:color w:val="000000"/>
                <w:sz w:val="20"/>
              </w:rPr>
              <w:t>the</w:t>
            </w:r>
            <w:r w:rsidR="00A4171C" w:rsidRPr="001F38A4">
              <w:rPr>
                <w:color w:val="000000"/>
                <w:sz w:val="20"/>
              </w:rPr>
              <w:t xml:space="preserve"> current</w:t>
            </w:r>
            <w:r w:rsidRPr="001F38A4">
              <w:rPr>
                <w:color w:val="000000"/>
                <w:sz w:val="20"/>
              </w:rPr>
              <w:t xml:space="preserve"> regulations in Sta</w:t>
            </w:r>
            <w:r w:rsidR="001F38A4" w:rsidRPr="001F38A4">
              <w:rPr>
                <w:color w:val="000000"/>
                <w:sz w:val="20"/>
              </w:rPr>
              <w:t xml:space="preserve">ndard 2.6.2. </w:t>
            </w:r>
            <w:r w:rsidR="00891937" w:rsidRPr="001F38A4">
              <w:rPr>
                <w:color w:val="000000"/>
                <w:sz w:val="20"/>
              </w:rPr>
              <w:t xml:space="preserve">See </w:t>
            </w:r>
            <w:r w:rsidR="00D927C4" w:rsidRPr="001F38A4">
              <w:rPr>
                <w:color w:val="000000"/>
                <w:sz w:val="20"/>
              </w:rPr>
              <w:t>S</w:t>
            </w:r>
            <w:r w:rsidR="00891937" w:rsidRPr="001F38A4">
              <w:rPr>
                <w:color w:val="000000"/>
                <w:sz w:val="20"/>
              </w:rPr>
              <w:t>ection 2.</w:t>
            </w:r>
            <w:r w:rsidR="004A5EE6" w:rsidRPr="001F38A4">
              <w:rPr>
                <w:color w:val="000000"/>
                <w:sz w:val="20"/>
              </w:rPr>
              <w:t>4</w:t>
            </w:r>
            <w:r w:rsidR="00891937" w:rsidRPr="001F38A4">
              <w:rPr>
                <w:color w:val="000000"/>
                <w:sz w:val="20"/>
              </w:rPr>
              <w:t>.1 below.</w:t>
            </w:r>
          </w:p>
          <w:p w14:paraId="59E7BB10" w14:textId="0742F70E" w:rsidR="00EB2DB5" w:rsidRPr="00E244A2" w:rsidRDefault="00891937" w:rsidP="00421C5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sz w:val="20"/>
              </w:rPr>
            </w:pPr>
            <w:r w:rsidRPr="00E244A2">
              <w:rPr>
                <w:color w:val="000000"/>
                <w:sz w:val="20"/>
              </w:rPr>
              <w:t xml:space="preserve">Transfer of </w:t>
            </w:r>
            <w:r w:rsidR="00EB2DB5" w:rsidRPr="00E244A2">
              <w:rPr>
                <w:color w:val="000000"/>
                <w:sz w:val="20"/>
              </w:rPr>
              <w:t xml:space="preserve">these provisions </w:t>
            </w:r>
            <w:r w:rsidRPr="00E244A2">
              <w:rPr>
                <w:color w:val="000000"/>
                <w:sz w:val="20"/>
              </w:rPr>
              <w:t xml:space="preserve">to Standard 2.9.4 and the reclassification of </w:t>
            </w:r>
            <w:r w:rsidRPr="00E244A2">
              <w:rPr>
                <w:sz w:val="20"/>
              </w:rPr>
              <w:t>electrolyte drinks as special purpose foods</w:t>
            </w:r>
            <w:r w:rsidR="00421C56">
              <w:rPr>
                <w:color w:val="000000"/>
                <w:sz w:val="20"/>
              </w:rPr>
              <w:t xml:space="preserve"> will</w:t>
            </w:r>
            <w:r w:rsidR="00EB2DB5" w:rsidRPr="00E244A2">
              <w:rPr>
                <w:color w:val="000000"/>
                <w:sz w:val="20"/>
              </w:rPr>
              <w:t xml:space="preserve">, if required, be </w:t>
            </w:r>
            <w:r w:rsidR="00421C56">
              <w:rPr>
                <w:color w:val="000000"/>
                <w:sz w:val="20"/>
              </w:rPr>
              <w:t xml:space="preserve">further </w:t>
            </w:r>
            <w:r w:rsidRPr="00E244A2">
              <w:rPr>
                <w:color w:val="000000"/>
                <w:sz w:val="20"/>
              </w:rPr>
              <w:t xml:space="preserve">considered </w:t>
            </w:r>
            <w:r w:rsidR="000E6CCB" w:rsidRPr="00E244A2">
              <w:rPr>
                <w:color w:val="000000"/>
                <w:sz w:val="20"/>
              </w:rPr>
              <w:t>in</w:t>
            </w:r>
            <w:r w:rsidR="00EB2DB5" w:rsidRPr="00E244A2" w:rsidDel="000E6CCB">
              <w:rPr>
                <w:color w:val="000000"/>
                <w:sz w:val="20"/>
              </w:rPr>
              <w:t xml:space="preserve"> </w:t>
            </w:r>
            <w:r w:rsidR="00EB2DB5" w:rsidRPr="00E244A2">
              <w:rPr>
                <w:color w:val="000000"/>
                <w:sz w:val="20"/>
              </w:rPr>
              <w:t>the review of Standard 2.9.4 (P</w:t>
            </w:r>
            <w:r w:rsidR="001F38A4">
              <w:rPr>
                <w:color w:val="000000"/>
                <w:sz w:val="20"/>
              </w:rPr>
              <w:t>roposal P</w:t>
            </w:r>
            <w:r w:rsidR="00EB2DB5" w:rsidRPr="00E244A2">
              <w:rPr>
                <w:color w:val="000000"/>
                <w:sz w:val="20"/>
              </w:rPr>
              <w:t>1010)</w:t>
            </w:r>
            <w:r w:rsidRPr="00E244A2">
              <w:rPr>
                <w:color w:val="000000"/>
                <w:sz w:val="20"/>
              </w:rPr>
              <w:t>.</w:t>
            </w:r>
          </w:p>
        </w:tc>
      </w:tr>
      <w:tr w:rsidR="00D66365" w14:paraId="6BF6252F" w14:textId="77777777" w:rsidTr="00D927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auto"/>
            </w:tcBorders>
          </w:tcPr>
          <w:p w14:paraId="79F11E87" w14:textId="5DDAF40C" w:rsidR="00D66365" w:rsidRPr="00E244A2" w:rsidRDefault="00D66365" w:rsidP="00AC70AF">
            <w:pPr>
              <w:pStyle w:val="FSCtblMain"/>
              <w:tabs>
                <w:tab w:val="clear" w:pos="3969"/>
                <w:tab w:val="right" w:pos="1944"/>
              </w:tabs>
              <w:spacing w:before="29" w:after="29"/>
              <w:rPr>
                <w:b w:val="0"/>
                <w:sz w:val="20"/>
              </w:rPr>
            </w:pPr>
            <w:r w:rsidRPr="00E244A2">
              <w:rPr>
                <w:sz w:val="20"/>
              </w:rPr>
              <w:t>Definition</w:t>
            </w:r>
          </w:p>
        </w:tc>
      </w:tr>
      <w:tr w:rsidR="00501310" w14:paraId="7790FE03" w14:textId="77777777" w:rsidTr="00D927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5" w:type="pct"/>
            <w:tcBorders>
              <w:bottom w:val="single" w:sz="4" w:space="0" w:color="auto"/>
              <w:right w:val="single" w:sz="4" w:space="0" w:color="auto"/>
            </w:tcBorders>
            <w:shd w:val="clear" w:color="auto" w:fill="FFFFFF" w:themeFill="background1"/>
          </w:tcPr>
          <w:p w14:paraId="14972F60" w14:textId="4B5CFD05" w:rsidR="00501310" w:rsidRPr="00E244A2" w:rsidRDefault="00501310" w:rsidP="00501310">
            <w:pPr>
              <w:pStyle w:val="FSCtblMain"/>
              <w:tabs>
                <w:tab w:val="clear" w:pos="3969"/>
                <w:tab w:val="right" w:pos="1944"/>
              </w:tabs>
              <w:spacing w:before="29" w:after="29"/>
              <w:rPr>
                <w:b w:val="0"/>
                <w:color w:val="000000"/>
                <w:sz w:val="20"/>
              </w:rPr>
            </w:pPr>
            <w:r w:rsidRPr="00E244A2">
              <w:rPr>
                <w:i/>
                <w:color w:val="000000"/>
                <w:sz w:val="20"/>
              </w:rPr>
              <w:t>‘Represented as’</w:t>
            </w:r>
          </w:p>
          <w:p w14:paraId="25D7BFA0" w14:textId="77777777" w:rsidR="00501310" w:rsidRDefault="00501310" w:rsidP="002B7876">
            <w:pPr>
              <w:pStyle w:val="FSCtblMain"/>
              <w:tabs>
                <w:tab w:val="clear" w:pos="3969"/>
                <w:tab w:val="right" w:pos="1944"/>
              </w:tabs>
              <w:spacing w:before="29" w:after="29"/>
              <w:rPr>
                <w:b w:val="0"/>
                <w:color w:val="000000"/>
                <w:sz w:val="20"/>
              </w:rPr>
            </w:pPr>
            <w:r w:rsidRPr="00E244A2">
              <w:rPr>
                <w:b w:val="0"/>
                <w:color w:val="000000"/>
                <w:sz w:val="20"/>
              </w:rPr>
              <w:t xml:space="preserve">Consider the inclusion of both ‘represented as’ and ‘formulated as’ would assist differentiation between electrolyte drinks and other sports drinks for enforcement purposes. </w:t>
            </w:r>
            <w:r w:rsidR="00252088" w:rsidRPr="00E244A2">
              <w:rPr>
                <w:b w:val="0"/>
                <w:color w:val="000000"/>
                <w:sz w:val="20"/>
              </w:rPr>
              <w:t>Also suggest the term ‘is suitable for’ could replace both ‘represented as’ and ‘formulated for’</w:t>
            </w:r>
            <w:r w:rsidR="00E244A2">
              <w:rPr>
                <w:b w:val="0"/>
                <w:color w:val="000000"/>
                <w:sz w:val="20"/>
              </w:rPr>
              <w:t xml:space="preserve">. </w:t>
            </w:r>
          </w:p>
          <w:p w14:paraId="34D98C58" w14:textId="556F31D6" w:rsidR="009E6468" w:rsidRPr="00E244A2" w:rsidRDefault="009E6468" w:rsidP="002B7876">
            <w:pPr>
              <w:pStyle w:val="FSCtblMain"/>
              <w:tabs>
                <w:tab w:val="clear" w:pos="3969"/>
                <w:tab w:val="right" w:pos="1944"/>
              </w:tabs>
              <w:spacing w:before="29" w:after="29"/>
              <w:rPr>
                <w:i/>
                <w:color w:val="000000"/>
                <w:sz w:val="20"/>
              </w:rPr>
            </w:pPr>
          </w:p>
        </w:tc>
        <w:tc>
          <w:tcPr>
            <w:tcW w:w="1539" w:type="pct"/>
            <w:tcBorders>
              <w:left w:val="single" w:sz="4" w:space="0" w:color="auto"/>
              <w:bottom w:val="single" w:sz="4" w:space="0" w:color="auto"/>
              <w:right w:val="single" w:sz="4" w:space="0" w:color="auto"/>
            </w:tcBorders>
            <w:shd w:val="clear" w:color="auto" w:fill="FFFFFF" w:themeFill="background1"/>
          </w:tcPr>
          <w:p w14:paraId="59A936CF" w14:textId="0DC8C785" w:rsidR="00501310" w:rsidRPr="00E244A2" w:rsidRDefault="00501310" w:rsidP="00E244A2">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sz w:val="20"/>
              </w:rPr>
            </w:pPr>
            <w:r w:rsidRPr="00E244A2">
              <w:rPr>
                <w:color w:val="000000"/>
                <w:sz w:val="20"/>
              </w:rPr>
              <w:t>Victorian Department of Health</w:t>
            </w:r>
          </w:p>
        </w:tc>
        <w:tc>
          <w:tcPr>
            <w:tcW w:w="1796" w:type="pct"/>
            <w:tcBorders>
              <w:left w:val="single" w:sz="4" w:space="0" w:color="auto"/>
              <w:bottom w:val="single" w:sz="4" w:space="0" w:color="auto"/>
            </w:tcBorders>
            <w:shd w:val="clear" w:color="auto" w:fill="FFFFFF" w:themeFill="background1"/>
          </w:tcPr>
          <w:p w14:paraId="5CFD2C15" w14:textId="0640C5ED" w:rsidR="00062001" w:rsidRPr="00E244A2" w:rsidRDefault="00F9618E" w:rsidP="004A5EE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FSANZ does not agree for t</w:t>
            </w:r>
            <w:r w:rsidR="004A5EE6">
              <w:rPr>
                <w:color w:val="000000"/>
                <w:sz w:val="20"/>
              </w:rPr>
              <w:t>he reasons listed in Section 2.4</w:t>
            </w:r>
            <w:r w:rsidRPr="00E244A2">
              <w:rPr>
                <w:color w:val="000000"/>
                <w:sz w:val="20"/>
              </w:rPr>
              <w:t>.2.1 below.</w:t>
            </w:r>
          </w:p>
        </w:tc>
      </w:tr>
      <w:tr w:rsidR="00EB2DB5" w14:paraId="30909E8F" w14:textId="77777777" w:rsidTr="00D927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5" w:type="pct"/>
            <w:tcBorders>
              <w:bottom w:val="single" w:sz="4" w:space="0" w:color="auto"/>
              <w:right w:val="single" w:sz="4" w:space="0" w:color="auto"/>
            </w:tcBorders>
            <w:shd w:val="clear" w:color="auto" w:fill="auto"/>
          </w:tcPr>
          <w:p w14:paraId="2720D55E" w14:textId="68CC4FE3" w:rsidR="001C6492" w:rsidRPr="00E244A2" w:rsidRDefault="001C6492" w:rsidP="002B7876">
            <w:pPr>
              <w:pStyle w:val="FSCtblMain"/>
              <w:tabs>
                <w:tab w:val="clear" w:pos="3969"/>
                <w:tab w:val="right" w:pos="1944"/>
              </w:tabs>
              <w:spacing w:before="29" w:after="29"/>
              <w:rPr>
                <w:b w:val="0"/>
                <w:color w:val="000000"/>
                <w:sz w:val="20"/>
              </w:rPr>
            </w:pPr>
            <w:r w:rsidRPr="00E244A2">
              <w:rPr>
                <w:i/>
                <w:color w:val="000000"/>
                <w:sz w:val="20"/>
              </w:rPr>
              <w:t>‘Carbohydrate’</w:t>
            </w:r>
          </w:p>
          <w:p w14:paraId="24B9C49F" w14:textId="2A700948" w:rsidR="00EB2DB5" w:rsidRPr="00E244A2" w:rsidRDefault="00D906AD" w:rsidP="002B7876">
            <w:pPr>
              <w:pStyle w:val="FSCtblMain"/>
              <w:tabs>
                <w:tab w:val="clear" w:pos="3969"/>
                <w:tab w:val="right" w:pos="1944"/>
              </w:tabs>
              <w:spacing w:before="29" w:after="29"/>
              <w:rPr>
                <w:color w:val="000000"/>
                <w:sz w:val="20"/>
              </w:rPr>
            </w:pPr>
            <w:r w:rsidRPr="00E244A2">
              <w:rPr>
                <w:b w:val="0"/>
                <w:color w:val="000000"/>
                <w:sz w:val="20"/>
              </w:rPr>
              <w:t>Recommend the term ‘carbohydrate</w:t>
            </w:r>
            <w:r w:rsidR="00EB2DB5" w:rsidRPr="00E244A2">
              <w:rPr>
                <w:b w:val="0"/>
                <w:color w:val="000000"/>
                <w:sz w:val="20"/>
              </w:rPr>
              <w:t>’ should be retained to:</w:t>
            </w:r>
          </w:p>
          <w:p w14:paraId="05B8D40B" w14:textId="77777777" w:rsidR="00EB2DB5" w:rsidRPr="00E244A2" w:rsidRDefault="00EB2DB5" w:rsidP="00CC417B">
            <w:pPr>
              <w:pStyle w:val="FSCtblMain"/>
              <w:numPr>
                <w:ilvl w:val="0"/>
                <w:numId w:val="32"/>
              </w:numPr>
              <w:tabs>
                <w:tab w:val="clear" w:pos="3969"/>
                <w:tab w:val="right" w:pos="1944"/>
              </w:tabs>
              <w:spacing w:before="29" w:after="29"/>
              <w:ind w:left="176" w:hanging="176"/>
              <w:rPr>
                <w:b w:val="0"/>
                <w:color w:val="000000"/>
                <w:sz w:val="20"/>
              </w:rPr>
            </w:pPr>
            <w:r w:rsidRPr="00E244A2">
              <w:rPr>
                <w:b w:val="0"/>
                <w:color w:val="000000"/>
                <w:sz w:val="20"/>
              </w:rPr>
              <w:t>improve consistency between the definition and purpose;</w:t>
            </w:r>
          </w:p>
          <w:p w14:paraId="1EAB5A07" w14:textId="5AC51274" w:rsidR="00EB2DB5" w:rsidRPr="00E244A2" w:rsidRDefault="00EB2DB5" w:rsidP="00CC417B">
            <w:pPr>
              <w:pStyle w:val="FSCtblMain"/>
              <w:numPr>
                <w:ilvl w:val="0"/>
                <w:numId w:val="32"/>
              </w:numPr>
              <w:tabs>
                <w:tab w:val="clear" w:pos="3969"/>
                <w:tab w:val="right" w:pos="1944"/>
              </w:tabs>
              <w:spacing w:before="29" w:after="29"/>
              <w:ind w:left="176" w:hanging="176"/>
              <w:rPr>
                <w:b w:val="0"/>
                <w:color w:val="000000"/>
                <w:sz w:val="20"/>
              </w:rPr>
            </w:pPr>
            <w:r w:rsidRPr="00E244A2">
              <w:rPr>
                <w:b w:val="0"/>
                <w:color w:val="000000"/>
                <w:sz w:val="20"/>
              </w:rPr>
              <w:t xml:space="preserve">reflect the mandatory </w:t>
            </w:r>
            <w:r w:rsidR="00A4171C" w:rsidRPr="00E244A2">
              <w:rPr>
                <w:b w:val="0"/>
                <w:color w:val="000000"/>
                <w:sz w:val="20"/>
              </w:rPr>
              <w:t>compositional requirements of electrolyte drink</w:t>
            </w:r>
            <w:r w:rsidRPr="00E244A2">
              <w:rPr>
                <w:b w:val="0"/>
                <w:color w:val="000000"/>
                <w:sz w:val="20"/>
              </w:rPr>
              <w:t xml:space="preserve">s given that the draft variation does not permit </w:t>
            </w:r>
            <w:r w:rsidR="00A4171C" w:rsidRPr="00E244A2">
              <w:rPr>
                <w:b w:val="0"/>
                <w:color w:val="000000"/>
                <w:sz w:val="20"/>
              </w:rPr>
              <w:t>electrolyte drink</w:t>
            </w:r>
            <w:r w:rsidRPr="00E244A2">
              <w:rPr>
                <w:b w:val="0"/>
                <w:color w:val="000000"/>
                <w:sz w:val="20"/>
              </w:rPr>
              <w:t>s with zero carbohydrate; and</w:t>
            </w:r>
          </w:p>
          <w:p w14:paraId="5CE92BEC" w14:textId="77777777" w:rsidR="00EB2DB5" w:rsidRDefault="00EB2DB5" w:rsidP="00CC417B">
            <w:pPr>
              <w:pStyle w:val="FSCtblMain"/>
              <w:numPr>
                <w:ilvl w:val="0"/>
                <w:numId w:val="32"/>
              </w:numPr>
              <w:tabs>
                <w:tab w:val="clear" w:pos="3969"/>
                <w:tab w:val="right" w:pos="1944"/>
              </w:tabs>
              <w:spacing w:before="29" w:after="29"/>
              <w:ind w:left="176" w:hanging="176"/>
              <w:rPr>
                <w:b w:val="0"/>
                <w:color w:val="000000"/>
                <w:sz w:val="20"/>
              </w:rPr>
            </w:pPr>
            <w:r w:rsidRPr="00E244A2">
              <w:rPr>
                <w:b w:val="0"/>
                <w:color w:val="000000"/>
                <w:sz w:val="20"/>
              </w:rPr>
              <w:t xml:space="preserve">recognise its role in hydration and energy/performance. </w:t>
            </w:r>
          </w:p>
          <w:p w14:paraId="51AE31F5" w14:textId="37D76276" w:rsidR="009E6468" w:rsidRPr="00E244A2" w:rsidRDefault="009E6468" w:rsidP="009E6468">
            <w:pPr>
              <w:pStyle w:val="FSCtblMain"/>
              <w:tabs>
                <w:tab w:val="clear" w:pos="3969"/>
                <w:tab w:val="right" w:pos="1944"/>
              </w:tabs>
              <w:spacing w:before="29" w:after="29"/>
              <w:rPr>
                <w:b w:val="0"/>
                <w:color w:val="000000"/>
                <w:sz w:val="20"/>
              </w:rPr>
            </w:pPr>
          </w:p>
        </w:tc>
        <w:tc>
          <w:tcPr>
            <w:tcW w:w="1539" w:type="pct"/>
            <w:tcBorders>
              <w:left w:val="single" w:sz="4" w:space="0" w:color="auto"/>
              <w:bottom w:val="single" w:sz="4" w:space="0" w:color="auto"/>
              <w:right w:val="single" w:sz="4" w:space="0" w:color="auto"/>
            </w:tcBorders>
            <w:shd w:val="clear" w:color="auto" w:fill="auto"/>
          </w:tcPr>
          <w:p w14:paraId="38033EE8" w14:textId="77777777" w:rsidR="00EB2DB5" w:rsidRPr="00E244A2" w:rsidRDefault="00EB2DB5"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color w:val="000000"/>
                <w:sz w:val="20"/>
              </w:rPr>
              <w:t>Australian Beverages Council Limited</w:t>
            </w:r>
          </w:p>
          <w:p w14:paraId="6F912DA2" w14:textId="77777777" w:rsidR="00EB2DB5" w:rsidRPr="00E244A2" w:rsidRDefault="00EB2DB5"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color w:val="000000"/>
                <w:sz w:val="20"/>
              </w:rPr>
              <w:t>Australia Food &amp; Grocery Council</w:t>
            </w:r>
          </w:p>
          <w:p w14:paraId="2F909A83" w14:textId="77777777" w:rsidR="00EB2DB5" w:rsidRPr="00E244A2" w:rsidRDefault="00EB2DB5"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color w:val="000000"/>
                <w:sz w:val="20"/>
              </w:rPr>
              <w:t xml:space="preserve">Dietitians Australia </w:t>
            </w:r>
          </w:p>
          <w:p w14:paraId="59845467" w14:textId="77777777" w:rsidR="00EB2DB5" w:rsidRPr="00E244A2" w:rsidRDefault="00EB2DB5"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color w:val="000000"/>
                <w:sz w:val="20"/>
              </w:rPr>
              <w:t xml:space="preserve">New Zealand Beverages Council </w:t>
            </w:r>
          </w:p>
          <w:p w14:paraId="44A6D1D4" w14:textId="77777777" w:rsidR="00EB2DB5" w:rsidRPr="00E244A2" w:rsidRDefault="00EB2DB5"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color w:val="000000"/>
                <w:sz w:val="20"/>
              </w:rPr>
              <w:t xml:space="preserve">New Zealand Food &amp; Grocery Council </w:t>
            </w:r>
          </w:p>
          <w:p w14:paraId="22BF5381" w14:textId="77777777" w:rsidR="00EB2DB5" w:rsidRPr="00E244A2" w:rsidRDefault="00EB2DB5"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p>
        </w:tc>
        <w:tc>
          <w:tcPr>
            <w:tcW w:w="1796" w:type="pct"/>
            <w:tcBorders>
              <w:left w:val="single" w:sz="4" w:space="0" w:color="auto"/>
              <w:bottom w:val="single" w:sz="4" w:space="0" w:color="auto"/>
            </w:tcBorders>
            <w:shd w:val="clear" w:color="auto" w:fill="auto"/>
          </w:tcPr>
          <w:p w14:paraId="20F34AFD" w14:textId="63A4FBF5" w:rsidR="00EB2DB5" w:rsidRPr="00E244A2" w:rsidRDefault="00EB2DB5" w:rsidP="004A5EE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color w:val="000000"/>
                <w:sz w:val="20"/>
              </w:rPr>
              <w:t xml:space="preserve">FSANZ has reviewed the definitional components and </w:t>
            </w:r>
            <w:r w:rsidR="001845FD" w:rsidRPr="00E244A2">
              <w:rPr>
                <w:color w:val="000000"/>
                <w:sz w:val="20"/>
              </w:rPr>
              <w:t xml:space="preserve">decided </w:t>
            </w:r>
            <w:r w:rsidR="00D906AD" w:rsidRPr="00E244A2">
              <w:rPr>
                <w:color w:val="000000"/>
                <w:sz w:val="20"/>
              </w:rPr>
              <w:t xml:space="preserve">to </w:t>
            </w:r>
            <w:r w:rsidR="001845FD" w:rsidRPr="00E244A2">
              <w:rPr>
                <w:color w:val="000000"/>
                <w:sz w:val="20"/>
              </w:rPr>
              <w:t xml:space="preserve">retain </w:t>
            </w:r>
            <w:r w:rsidR="00D906AD" w:rsidRPr="00E244A2">
              <w:rPr>
                <w:color w:val="000000"/>
                <w:sz w:val="20"/>
              </w:rPr>
              <w:t>the term ‘carbohydrate</w:t>
            </w:r>
            <w:r w:rsidRPr="00E244A2">
              <w:rPr>
                <w:color w:val="000000"/>
                <w:sz w:val="20"/>
              </w:rPr>
              <w:t xml:space="preserve">’ </w:t>
            </w:r>
            <w:r w:rsidR="001845FD" w:rsidRPr="00E244A2">
              <w:rPr>
                <w:color w:val="000000"/>
                <w:sz w:val="20"/>
              </w:rPr>
              <w:t xml:space="preserve">in the definition of an ‘electrolyte drink’ </w:t>
            </w:r>
            <w:r w:rsidRPr="00E244A2">
              <w:rPr>
                <w:color w:val="000000"/>
                <w:sz w:val="20"/>
              </w:rPr>
              <w:t xml:space="preserve">to ensure </w:t>
            </w:r>
            <w:r w:rsidR="001845FD" w:rsidRPr="00E244A2">
              <w:rPr>
                <w:color w:val="000000"/>
                <w:sz w:val="20"/>
              </w:rPr>
              <w:t xml:space="preserve">that </w:t>
            </w:r>
            <w:r w:rsidRPr="00E244A2">
              <w:rPr>
                <w:color w:val="000000"/>
                <w:sz w:val="20"/>
              </w:rPr>
              <w:t xml:space="preserve">definition aligns with all the compositional requirements for </w:t>
            </w:r>
            <w:r w:rsidR="00A4171C" w:rsidRPr="00E244A2">
              <w:rPr>
                <w:color w:val="000000"/>
                <w:sz w:val="20"/>
              </w:rPr>
              <w:t>electrolyte drink</w:t>
            </w:r>
            <w:r w:rsidRPr="00E244A2">
              <w:rPr>
                <w:color w:val="000000"/>
                <w:sz w:val="20"/>
              </w:rPr>
              <w:t xml:space="preserve">s. </w:t>
            </w:r>
            <w:r w:rsidR="001845FD" w:rsidRPr="00E244A2">
              <w:rPr>
                <w:color w:val="000000"/>
                <w:sz w:val="20"/>
              </w:rPr>
              <w:t>See</w:t>
            </w:r>
            <w:r w:rsidRPr="00E244A2">
              <w:rPr>
                <w:color w:val="000000"/>
                <w:sz w:val="20"/>
              </w:rPr>
              <w:t xml:space="preserve"> Section 2.</w:t>
            </w:r>
            <w:r w:rsidR="004A5EE6">
              <w:rPr>
                <w:color w:val="000000"/>
                <w:sz w:val="20"/>
              </w:rPr>
              <w:t>4</w:t>
            </w:r>
            <w:r w:rsidRPr="00E244A2">
              <w:rPr>
                <w:color w:val="000000"/>
                <w:sz w:val="20"/>
              </w:rPr>
              <w:t>.</w:t>
            </w:r>
            <w:r w:rsidR="00FC3378" w:rsidRPr="00E244A2">
              <w:rPr>
                <w:color w:val="000000"/>
                <w:sz w:val="20"/>
              </w:rPr>
              <w:t>2.2</w:t>
            </w:r>
            <w:r w:rsidR="00D05DF0" w:rsidRPr="00E244A2">
              <w:rPr>
                <w:color w:val="000000"/>
                <w:sz w:val="20"/>
              </w:rPr>
              <w:t xml:space="preserve"> of this R</w:t>
            </w:r>
            <w:r w:rsidRPr="00E244A2">
              <w:rPr>
                <w:color w:val="000000"/>
                <w:sz w:val="20"/>
              </w:rPr>
              <w:t xml:space="preserve">eport.  </w:t>
            </w:r>
          </w:p>
        </w:tc>
      </w:tr>
      <w:tr w:rsidR="00CD4A31" w14:paraId="2099DB33" w14:textId="77777777" w:rsidTr="00D927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5" w:type="pct"/>
            <w:tcBorders>
              <w:right w:val="single" w:sz="4" w:space="0" w:color="auto"/>
            </w:tcBorders>
            <w:shd w:val="clear" w:color="auto" w:fill="auto"/>
          </w:tcPr>
          <w:p w14:paraId="12458106" w14:textId="6AFB1EAE" w:rsidR="001C6492" w:rsidRPr="00E244A2" w:rsidRDefault="001C6492" w:rsidP="002B7876">
            <w:pPr>
              <w:pStyle w:val="FSCtblMain"/>
              <w:tabs>
                <w:tab w:val="clear" w:pos="3969"/>
                <w:tab w:val="right" w:pos="1944"/>
              </w:tabs>
              <w:spacing w:before="29" w:after="29"/>
              <w:rPr>
                <w:b w:val="0"/>
                <w:color w:val="000000"/>
                <w:sz w:val="20"/>
              </w:rPr>
            </w:pPr>
            <w:r w:rsidRPr="00E244A2">
              <w:rPr>
                <w:i/>
                <w:color w:val="000000"/>
                <w:sz w:val="20"/>
              </w:rPr>
              <w:lastRenderedPageBreak/>
              <w:t>Time reference</w:t>
            </w:r>
          </w:p>
          <w:p w14:paraId="4EEA6A58" w14:textId="05252400" w:rsidR="001223AA" w:rsidRDefault="00463984" w:rsidP="002B7876">
            <w:pPr>
              <w:pStyle w:val="FSCtblMain"/>
              <w:tabs>
                <w:tab w:val="clear" w:pos="3969"/>
                <w:tab w:val="right" w:pos="1944"/>
              </w:tabs>
              <w:spacing w:before="29" w:after="29"/>
              <w:rPr>
                <w:b w:val="0"/>
                <w:color w:val="000000"/>
                <w:sz w:val="20"/>
              </w:rPr>
            </w:pPr>
            <w:r w:rsidRPr="00E244A2">
              <w:rPr>
                <w:b w:val="0"/>
                <w:color w:val="000000"/>
                <w:sz w:val="20"/>
              </w:rPr>
              <w:t xml:space="preserve">Argue </w:t>
            </w:r>
            <w:r w:rsidR="00E951BC" w:rsidRPr="00E244A2">
              <w:rPr>
                <w:b w:val="0"/>
                <w:color w:val="000000"/>
                <w:sz w:val="20"/>
              </w:rPr>
              <w:t xml:space="preserve">the </w:t>
            </w:r>
            <w:r w:rsidRPr="00E244A2">
              <w:rPr>
                <w:b w:val="0"/>
                <w:color w:val="000000"/>
                <w:sz w:val="20"/>
              </w:rPr>
              <w:t>i</w:t>
            </w:r>
            <w:r w:rsidR="00CD4A31" w:rsidRPr="00E244A2">
              <w:rPr>
                <w:b w:val="0"/>
                <w:color w:val="000000"/>
                <w:sz w:val="20"/>
              </w:rPr>
              <w:t xml:space="preserve">nclusion of a </w:t>
            </w:r>
            <w:r w:rsidR="00E244A2">
              <w:rPr>
                <w:b w:val="0"/>
                <w:bCs w:val="0"/>
                <w:color w:val="000000"/>
                <w:sz w:val="20"/>
              </w:rPr>
              <w:t>‘</w:t>
            </w:r>
            <w:r w:rsidR="00CD4A31" w:rsidRPr="00E244A2">
              <w:rPr>
                <w:b w:val="0"/>
                <w:bCs w:val="0"/>
                <w:color w:val="000000"/>
                <w:sz w:val="20"/>
              </w:rPr>
              <w:t>60</w:t>
            </w:r>
            <w:r w:rsidR="00CD4A31" w:rsidRPr="00E244A2">
              <w:rPr>
                <w:b w:val="0"/>
                <w:color w:val="000000"/>
                <w:sz w:val="20"/>
              </w:rPr>
              <w:t xml:space="preserve"> minutes’ time limitation is overly prescriptive, and suggest ‘sustained strenuous physical activity’</w:t>
            </w:r>
            <w:r w:rsidR="00E951BC" w:rsidRPr="00E244A2">
              <w:rPr>
                <w:b w:val="0"/>
                <w:color w:val="000000"/>
                <w:sz w:val="20"/>
              </w:rPr>
              <w:t xml:space="preserve"> is appropriate to inform</w:t>
            </w:r>
            <w:r w:rsidR="00CD4A31" w:rsidRPr="00E244A2">
              <w:rPr>
                <w:b w:val="0"/>
                <w:color w:val="000000"/>
                <w:sz w:val="20"/>
              </w:rPr>
              <w:t xml:space="preserve"> </w:t>
            </w:r>
            <w:r w:rsidR="00E951BC" w:rsidRPr="00E244A2">
              <w:rPr>
                <w:b w:val="0"/>
                <w:color w:val="000000"/>
                <w:sz w:val="20"/>
              </w:rPr>
              <w:t>consumers when to consume.</w:t>
            </w:r>
          </w:p>
          <w:p w14:paraId="7CE2D4A9" w14:textId="77777777" w:rsidR="00E244A2" w:rsidRPr="00E244A2" w:rsidRDefault="00E244A2" w:rsidP="002B7876">
            <w:pPr>
              <w:pStyle w:val="FSCtblMain"/>
              <w:tabs>
                <w:tab w:val="clear" w:pos="3969"/>
                <w:tab w:val="right" w:pos="1944"/>
              </w:tabs>
              <w:spacing w:before="29" w:after="29"/>
              <w:rPr>
                <w:b w:val="0"/>
                <w:color w:val="000000"/>
                <w:sz w:val="20"/>
              </w:rPr>
            </w:pPr>
          </w:p>
          <w:p w14:paraId="2F340818" w14:textId="34389E12" w:rsidR="00CD4A31" w:rsidRPr="00E244A2" w:rsidRDefault="00E951BC" w:rsidP="002B7876">
            <w:pPr>
              <w:pStyle w:val="FSCtblMain"/>
              <w:tabs>
                <w:tab w:val="clear" w:pos="3969"/>
                <w:tab w:val="right" w:pos="1944"/>
              </w:tabs>
              <w:spacing w:before="29" w:after="29"/>
              <w:rPr>
                <w:b w:val="0"/>
                <w:color w:val="000000"/>
                <w:sz w:val="20"/>
              </w:rPr>
            </w:pPr>
            <w:r w:rsidRPr="00E244A2">
              <w:rPr>
                <w:b w:val="0"/>
                <w:color w:val="000000"/>
                <w:sz w:val="20"/>
              </w:rPr>
              <w:t>Suggest the t</w:t>
            </w:r>
            <w:r w:rsidR="00CD4A31" w:rsidRPr="00E244A2">
              <w:rPr>
                <w:b w:val="0"/>
                <w:color w:val="000000"/>
                <w:sz w:val="20"/>
              </w:rPr>
              <w:t xml:space="preserve">ime </w:t>
            </w:r>
            <w:r w:rsidRPr="00E244A2">
              <w:rPr>
                <w:b w:val="0"/>
                <w:color w:val="000000"/>
                <w:sz w:val="20"/>
              </w:rPr>
              <w:t xml:space="preserve">duration </w:t>
            </w:r>
            <w:r w:rsidR="000F4ABC" w:rsidRPr="00E244A2">
              <w:rPr>
                <w:b w:val="0"/>
                <w:color w:val="000000"/>
                <w:sz w:val="20"/>
              </w:rPr>
              <w:t>should be extended to 90 minutes</w:t>
            </w:r>
            <w:r w:rsidR="00CD4A31" w:rsidRPr="00E244A2">
              <w:rPr>
                <w:b w:val="0"/>
                <w:color w:val="000000"/>
                <w:sz w:val="20"/>
              </w:rPr>
              <w:t xml:space="preserve"> to:</w:t>
            </w:r>
          </w:p>
          <w:p w14:paraId="2B787ED6" w14:textId="4D4A6921" w:rsidR="00CD4A31" w:rsidRPr="00E244A2" w:rsidRDefault="005C0FD2" w:rsidP="00CC417B">
            <w:pPr>
              <w:pStyle w:val="FSCtblMain"/>
              <w:numPr>
                <w:ilvl w:val="0"/>
                <w:numId w:val="33"/>
              </w:numPr>
              <w:tabs>
                <w:tab w:val="clear" w:pos="3969"/>
                <w:tab w:val="right" w:pos="1944"/>
              </w:tabs>
              <w:spacing w:before="29" w:after="29"/>
              <w:ind w:left="176" w:hanging="176"/>
              <w:rPr>
                <w:b w:val="0"/>
                <w:color w:val="000000"/>
                <w:sz w:val="20"/>
              </w:rPr>
            </w:pPr>
            <w:r w:rsidRPr="00E244A2">
              <w:rPr>
                <w:b w:val="0"/>
                <w:color w:val="000000"/>
                <w:sz w:val="20"/>
              </w:rPr>
              <w:t>align with Sports Dietitians Australia</w:t>
            </w:r>
            <w:r w:rsidR="00CD4A31" w:rsidRPr="00E244A2">
              <w:rPr>
                <w:b w:val="0"/>
                <w:color w:val="000000"/>
                <w:sz w:val="20"/>
              </w:rPr>
              <w:t xml:space="preserve"> </w:t>
            </w:r>
            <w:r w:rsidR="00501310" w:rsidRPr="00E244A2">
              <w:rPr>
                <w:b w:val="0"/>
                <w:color w:val="000000"/>
                <w:sz w:val="20"/>
              </w:rPr>
              <w:t xml:space="preserve">(SDA) </w:t>
            </w:r>
            <w:r w:rsidR="00CD4A31" w:rsidRPr="00E244A2">
              <w:rPr>
                <w:b w:val="0"/>
                <w:color w:val="000000"/>
                <w:sz w:val="20"/>
              </w:rPr>
              <w:t>recommendation</w:t>
            </w:r>
          </w:p>
          <w:p w14:paraId="227E32E4" w14:textId="2A5B1DBB" w:rsidR="00CD4A31" w:rsidRPr="00E244A2" w:rsidRDefault="00CD4A31" w:rsidP="00CC417B">
            <w:pPr>
              <w:pStyle w:val="FSCtblMain"/>
              <w:numPr>
                <w:ilvl w:val="0"/>
                <w:numId w:val="33"/>
              </w:numPr>
              <w:tabs>
                <w:tab w:val="clear" w:pos="3969"/>
                <w:tab w:val="right" w:pos="1944"/>
              </w:tabs>
              <w:spacing w:before="29" w:after="29"/>
              <w:ind w:left="176" w:hanging="176"/>
              <w:rPr>
                <w:b w:val="0"/>
                <w:color w:val="000000"/>
                <w:sz w:val="20"/>
              </w:rPr>
            </w:pPr>
            <w:r w:rsidRPr="00E244A2">
              <w:rPr>
                <w:b w:val="0"/>
                <w:color w:val="000000"/>
                <w:sz w:val="20"/>
              </w:rPr>
              <w:t xml:space="preserve">further highlight </w:t>
            </w:r>
            <w:r w:rsidR="00E951BC" w:rsidRPr="00E244A2">
              <w:rPr>
                <w:b w:val="0"/>
                <w:color w:val="000000"/>
                <w:sz w:val="20"/>
              </w:rPr>
              <w:t xml:space="preserve">that </w:t>
            </w:r>
            <w:r w:rsidR="00A4171C" w:rsidRPr="00E244A2">
              <w:rPr>
                <w:b w:val="0"/>
                <w:color w:val="000000"/>
                <w:sz w:val="20"/>
              </w:rPr>
              <w:t>electrolyte drink</w:t>
            </w:r>
            <w:r w:rsidRPr="00E244A2">
              <w:rPr>
                <w:b w:val="0"/>
                <w:color w:val="000000"/>
                <w:sz w:val="20"/>
              </w:rPr>
              <w:t>s are unnecessary for most individuals.</w:t>
            </w:r>
          </w:p>
        </w:tc>
        <w:tc>
          <w:tcPr>
            <w:tcW w:w="1539" w:type="pct"/>
            <w:tcBorders>
              <w:left w:val="single" w:sz="4" w:space="0" w:color="auto"/>
              <w:right w:val="single" w:sz="4" w:space="0" w:color="auto"/>
            </w:tcBorders>
            <w:shd w:val="clear" w:color="auto" w:fill="auto"/>
          </w:tcPr>
          <w:p w14:paraId="449C54A7" w14:textId="1E543244" w:rsidR="00CD4A31" w:rsidRPr="00E244A2" w:rsidRDefault="00463984"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Australian Beverages Council Limited</w:t>
            </w:r>
          </w:p>
          <w:p w14:paraId="676BB4B9" w14:textId="77777777" w:rsidR="00463984" w:rsidRPr="00E244A2" w:rsidRDefault="00463984"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 xml:space="preserve">New Zealand Beverages Council </w:t>
            </w:r>
          </w:p>
          <w:p w14:paraId="53CE5294" w14:textId="77777777" w:rsidR="001223AA" w:rsidRPr="00E244A2" w:rsidRDefault="001223AA"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p>
          <w:p w14:paraId="4AEBE65C" w14:textId="77777777" w:rsidR="001223AA" w:rsidRDefault="001223AA"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p>
          <w:p w14:paraId="6E3AD86B" w14:textId="57F81772" w:rsidR="00E244A2" w:rsidRDefault="00E244A2"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p>
          <w:p w14:paraId="63A85B56" w14:textId="062A0885" w:rsidR="00E244A2" w:rsidRDefault="00E244A2"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p>
          <w:p w14:paraId="159581DA" w14:textId="77777777" w:rsidR="00E244A2" w:rsidRPr="009E6468" w:rsidRDefault="00E244A2"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10"/>
              </w:rPr>
            </w:pPr>
          </w:p>
          <w:p w14:paraId="762C9AFE" w14:textId="5354BC30" w:rsidR="00463984" w:rsidRPr="00E244A2" w:rsidRDefault="00463984"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 xml:space="preserve">Cancer Council of Australia </w:t>
            </w:r>
          </w:p>
          <w:p w14:paraId="5E880D30" w14:textId="34B283A7" w:rsidR="00463984" w:rsidRPr="00E244A2" w:rsidRDefault="00463984"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Obesity P</w:t>
            </w:r>
            <w:r w:rsidR="00A27160" w:rsidRPr="00E244A2">
              <w:rPr>
                <w:color w:val="000000"/>
                <w:sz w:val="20"/>
              </w:rPr>
              <w:t xml:space="preserve">olicy </w:t>
            </w:r>
            <w:r w:rsidRPr="00E244A2">
              <w:rPr>
                <w:color w:val="000000"/>
                <w:sz w:val="20"/>
              </w:rPr>
              <w:t>C</w:t>
            </w:r>
            <w:r w:rsidR="00A27160" w:rsidRPr="00E244A2">
              <w:rPr>
                <w:color w:val="000000"/>
                <w:sz w:val="20"/>
              </w:rPr>
              <w:t>oalition</w:t>
            </w:r>
          </w:p>
          <w:p w14:paraId="5E732C91" w14:textId="6C464312" w:rsidR="00463984" w:rsidRPr="00E244A2" w:rsidRDefault="00463984"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p>
        </w:tc>
        <w:tc>
          <w:tcPr>
            <w:tcW w:w="1796" w:type="pct"/>
            <w:tcBorders>
              <w:left w:val="single" w:sz="4" w:space="0" w:color="auto"/>
            </w:tcBorders>
            <w:shd w:val="clear" w:color="auto" w:fill="auto"/>
          </w:tcPr>
          <w:p w14:paraId="1264BB80" w14:textId="5BFC03B6" w:rsidR="00E951BC" w:rsidRPr="00E244A2" w:rsidRDefault="001845FD"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 xml:space="preserve">FSANZ’s position remains that </w:t>
            </w:r>
            <w:r w:rsidR="00F9618E" w:rsidRPr="00E244A2">
              <w:rPr>
                <w:color w:val="000000"/>
                <w:sz w:val="20"/>
              </w:rPr>
              <w:t>the</w:t>
            </w:r>
            <w:r w:rsidRPr="00E244A2">
              <w:rPr>
                <w:color w:val="000000"/>
                <w:sz w:val="20"/>
              </w:rPr>
              <w:t xml:space="preserve"> </w:t>
            </w:r>
            <w:r w:rsidR="00F9618E" w:rsidRPr="00E244A2">
              <w:rPr>
                <w:color w:val="000000"/>
                <w:sz w:val="20"/>
              </w:rPr>
              <w:t xml:space="preserve">reference </w:t>
            </w:r>
            <w:r w:rsidR="005D6F16" w:rsidRPr="00E244A2">
              <w:rPr>
                <w:color w:val="000000"/>
                <w:sz w:val="20"/>
              </w:rPr>
              <w:t xml:space="preserve">in the ‘electrolyte drink’ definition </w:t>
            </w:r>
            <w:r w:rsidR="00F9618E" w:rsidRPr="00E244A2">
              <w:rPr>
                <w:color w:val="000000"/>
                <w:sz w:val="20"/>
              </w:rPr>
              <w:t>to the 60 minute time frame is appropriate</w:t>
            </w:r>
            <w:r w:rsidR="005D6F16" w:rsidRPr="00E244A2">
              <w:rPr>
                <w:color w:val="000000"/>
                <w:sz w:val="20"/>
              </w:rPr>
              <w:t xml:space="preserve"> and warranted</w:t>
            </w:r>
            <w:r w:rsidR="00F9618E" w:rsidRPr="00E244A2">
              <w:rPr>
                <w:color w:val="000000"/>
                <w:sz w:val="20"/>
              </w:rPr>
              <w:t xml:space="preserve">. </w:t>
            </w:r>
            <w:r w:rsidR="00E951BC" w:rsidRPr="00E244A2">
              <w:rPr>
                <w:color w:val="000000"/>
                <w:sz w:val="20"/>
              </w:rPr>
              <w:t>The 60 minute</w:t>
            </w:r>
            <w:r w:rsidR="00844EA2" w:rsidRPr="00E244A2">
              <w:rPr>
                <w:color w:val="000000"/>
                <w:sz w:val="20"/>
              </w:rPr>
              <w:t xml:space="preserve"> timeframe</w:t>
            </w:r>
            <w:r w:rsidR="00E951BC" w:rsidRPr="00E244A2">
              <w:rPr>
                <w:color w:val="000000"/>
                <w:sz w:val="20"/>
              </w:rPr>
              <w:t xml:space="preserve"> is based on evidence reviewed by FSANZ and </w:t>
            </w:r>
            <w:r w:rsidR="007032D8" w:rsidRPr="00E244A2">
              <w:rPr>
                <w:color w:val="000000"/>
                <w:sz w:val="20"/>
              </w:rPr>
              <w:t>the European Food Safety Authority (</w:t>
            </w:r>
            <w:r w:rsidR="00E951BC" w:rsidRPr="00E244A2">
              <w:rPr>
                <w:color w:val="000000"/>
                <w:sz w:val="20"/>
              </w:rPr>
              <w:t>EFSA</w:t>
            </w:r>
            <w:r w:rsidR="007032D8" w:rsidRPr="00E244A2">
              <w:rPr>
                <w:color w:val="000000"/>
                <w:sz w:val="20"/>
              </w:rPr>
              <w:t>)</w:t>
            </w:r>
            <w:r w:rsidR="00E951BC" w:rsidRPr="00E244A2">
              <w:rPr>
                <w:color w:val="000000"/>
                <w:sz w:val="20"/>
              </w:rPr>
              <w:t xml:space="preserve"> of the relationship between consumption of electrolyte drinks and hydration/water absorption, and physical performance under conditions of strenuous exercise of 60 minutes or more.</w:t>
            </w:r>
          </w:p>
          <w:p w14:paraId="45183104" w14:textId="77777777" w:rsidR="00CD4A31" w:rsidRDefault="00E951BC" w:rsidP="00501310">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 xml:space="preserve">FSANZ notes the </w:t>
            </w:r>
            <w:r w:rsidR="00501310" w:rsidRPr="00E244A2">
              <w:rPr>
                <w:color w:val="000000"/>
                <w:sz w:val="20"/>
              </w:rPr>
              <w:t>SDA</w:t>
            </w:r>
            <w:r w:rsidRPr="00E244A2">
              <w:rPr>
                <w:color w:val="000000"/>
                <w:sz w:val="20"/>
              </w:rPr>
              <w:t xml:space="preserve"> factsheet </w:t>
            </w:r>
            <w:r w:rsidR="00516503" w:rsidRPr="00E244A2">
              <w:rPr>
                <w:color w:val="000000"/>
                <w:sz w:val="20"/>
              </w:rPr>
              <w:t>is targeted</w:t>
            </w:r>
            <w:r w:rsidRPr="00E244A2">
              <w:rPr>
                <w:color w:val="000000"/>
                <w:sz w:val="20"/>
              </w:rPr>
              <w:t xml:space="preserve"> at sports drinks, with most containing 6-8% carbohydrate. </w:t>
            </w:r>
            <w:r w:rsidRPr="00E244A2">
              <w:rPr>
                <w:bCs/>
                <w:color w:val="000000"/>
                <w:sz w:val="20"/>
              </w:rPr>
              <w:t>FSANZ</w:t>
            </w:r>
            <w:r w:rsidR="00E244A2">
              <w:rPr>
                <w:bCs/>
                <w:color w:val="000000"/>
                <w:sz w:val="20"/>
              </w:rPr>
              <w:t>’s</w:t>
            </w:r>
            <w:r w:rsidRPr="00E244A2">
              <w:rPr>
                <w:color w:val="000000"/>
                <w:sz w:val="20"/>
              </w:rPr>
              <w:t xml:space="preserve"> assessment considered the effects of hydration and performance at levels of carbohydrate less than 6% (minimum of 2% carbohydrate). The conditions specified on SDA’s factsheet for sports drinks may therefore not be applicable to electrolyte drinks regulated under Standard 2.6.2.</w:t>
            </w:r>
          </w:p>
          <w:p w14:paraId="0381AB6B" w14:textId="52E5631D" w:rsidR="009E6468" w:rsidRPr="00E244A2" w:rsidRDefault="009E6468" w:rsidP="00501310">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p>
        </w:tc>
      </w:tr>
      <w:tr w:rsidR="00CD4A31" w14:paraId="1C6F1428" w14:textId="77777777" w:rsidTr="00D927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5" w:type="pct"/>
            <w:tcBorders>
              <w:bottom w:val="single" w:sz="4" w:space="0" w:color="auto"/>
              <w:right w:val="single" w:sz="4" w:space="0" w:color="auto"/>
            </w:tcBorders>
            <w:shd w:val="clear" w:color="auto" w:fill="auto"/>
          </w:tcPr>
          <w:p w14:paraId="7F4D62C4" w14:textId="05A4FC30" w:rsidR="001C6492" w:rsidRPr="00E244A2" w:rsidRDefault="001C6492" w:rsidP="002B7876">
            <w:pPr>
              <w:pStyle w:val="FSCtblMain"/>
              <w:tabs>
                <w:tab w:val="clear" w:pos="3969"/>
                <w:tab w:val="right" w:pos="1944"/>
              </w:tabs>
              <w:spacing w:before="29" w:after="29"/>
              <w:rPr>
                <w:i/>
                <w:color w:val="000000"/>
                <w:sz w:val="20"/>
              </w:rPr>
            </w:pPr>
            <w:r w:rsidRPr="00E244A2">
              <w:rPr>
                <w:i/>
                <w:color w:val="000000"/>
                <w:sz w:val="20"/>
              </w:rPr>
              <w:t>Conditions of use</w:t>
            </w:r>
          </w:p>
          <w:p w14:paraId="48EE20A0" w14:textId="4E21BC9B" w:rsidR="00516503" w:rsidRPr="00E244A2" w:rsidRDefault="00516503" w:rsidP="002B7876">
            <w:pPr>
              <w:pStyle w:val="FSCtblMain"/>
              <w:tabs>
                <w:tab w:val="clear" w:pos="3969"/>
                <w:tab w:val="right" w:pos="1944"/>
              </w:tabs>
              <w:spacing w:before="29" w:after="29"/>
              <w:rPr>
                <w:color w:val="000000"/>
                <w:sz w:val="20"/>
              </w:rPr>
            </w:pPr>
            <w:r w:rsidRPr="00E244A2">
              <w:rPr>
                <w:b w:val="0"/>
                <w:color w:val="000000"/>
                <w:sz w:val="20"/>
              </w:rPr>
              <w:t>There is sufficient evidence to demonstrate a hydration benefit prior to/before exercise.</w:t>
            </w:r>
          </w:p>
          <w:p w14:paraId="7C5E88C6" w14:textId="77777777" w:rsidR="00CD4A31" w:rsidRDefault="00516503" w:rsidP="002B7876">
            <w:pPr>
              <w:pStyle w:val="FSCtblMain"/>
              <w:tabs>
                <w:tab w:val="clear" w:pos="3969"/>
                <w:tab w:val="right" w:pos="1944"/>
              </w:tabs>
              <w:spacing w:before="29" w:after="29"/>
              <w:rPr>
                <w:b w:val="0"/>
                <w:color w:val="000000"/>
                <w:sz w:val="20"/>
              </w:rPr>
            </w:pPr>
            <w:r w:rsidRPr="00E244A2">
              <w:rPr>
                <w:b w:val="0"/>
                <w:color w:val="000000"/>
                <w:sz w:val="20"/>
              </w:rPr>
              <w:t>Rec</w:t>
            </w:r>
            <w:r w:rsidR="00A4171C" w:rsidRPr="00E244A2">
              <w:rPr>
                <w:b w:val="0"/>
                <w:color w:val="000000"/>
                <w:sz w:val="20"/>
              </w:rPr>
              <w:t>ommend reference to consuming electrolyte drink</w:t>
            </w:r>
            <w:r w:rsidRPr="00E244A2">
              <w:rPr>
                <w:b w:val="0"/>
                <w:color w:val="000000"/>
                <w:sz w:val="20"/>
              </w:rPr>
              <w:t xml:space="preserve">s </w:t>
            </w:r>
            <w:r w:rsidR="00B01C96" w:rsidRPr="00E244A2">
              <w:rPr>
                <w:b w:val="0"/>
                <w:color w:val="000000"/>
                <w:sz w:val="20"/>
              </w:rPr>
              <w:t>prior to/</w:t>
            </w:r>
            <w:r w:rsidRPr="00E244A2">
              <w:rPr>
                <w:b w:val="0"/>
                <w:color w:val="000000"/>
                <w:sz w:val="20"/>
              </w:rPr>
              <w:t xml:space="preserve">before physical </w:t>
            </w:r>
            <w:r w:rsidR="00B01C96" w:rsidRPr="00E244A2">
              <w:rPr>
                <w:b w:val="0"/>
                <w:color w:val="000000"/>
                <w:sz w:val="20"/>
              </w:rPr>
              <w:t>exercise</w:t>
            </w:r>
            <w:r w:rsidRPr="00E244A2">
              <w:rPr>
                <w:b w:val="0"/>
                <w:color w:val="000000"/>
                <w:sz w:val="20"/>
              </w:rPr>
              <w:t xml:space="preserve">, noting there is </w:t>
            </w:r>
            <w:r w:rsidR="00B01C96" w:rsidRPr="00E244A2">
              <w:rPr>
                <w:b w:val="0"/>
                <w:color w:val="000000"/>
                <w:sz w:val="20"/>
              </w:rPr>
              <w:t xml:space="preserve">sufficient evidence to demonstrate </w:t>
            </w:r>
            <w:r w:rsidRPr="00E244A2">
              <w:rPr>
                <w:b w:val="0"/>
                <w:color w:val="000000"/>
                <w:sz w:val="20"/>
              </w:rPr>
              <w:t>a benefit to hydrat</w:t>
            </w:r>
            <w:r w:rsidR="00B01C96" w:rsidRPr="00E244A2">
              <w:rPr>
                <w:b w:val="0"/>
                <w:color w:val="000000"/>
                <w:sz w:val="20"/>
              </w:rPr>
              <w:t xml:space="preserve">ion </w:t>
            </w:r>
            <w:r w:rsidRPr="00E244A2">
              <w:rPr>
                <w:b w:val="0"/>
                <w:color w:val="000000"/>
                <w:sz w:val="20"/>
              </w:rPr>
              <w:t>and fuel status.</w:t>
            </w:r>
          </w:p>
          <w:p w14:paraId="2B267576" w14:textId="4089AA7E" w:rsidR="009E6468" w:rsidRPr="00E244A2" w:rsidRDefault="009E6468" w:rsidP="002B7876">
            <w:pPr>
              <w:pStyle w:val="FSCtblMain"/>
              <w:tabs>
                <w:tab w:val="clear" w:pos="3969"/>
                <w:tab w:val="right" w:pos="1944"/>
              </w:tabs>
              <w:spacing w:before="29" w:after="29"/>
              <w:rPr>
                <w:b w:val="0"/>
                <w:color w:val="000000"/>
                <w:sz w:val="20"/>
              </w:rPr>
            </w:pPr>
          </w:p>
        </w:tc>
        <w:tc>
          <w:tcPr>
            <w:tcW w:w="1539" w:type="pct"/>
            <w:tcBorders>
              <w:left w:val="single" w:sz="4" w:space="0" w:color="auto"/>
              <w:bottom w:val="single" w:sz="4" w:space="0" w:color="auto"/>
              <w:right w:val="single" w:sz="4" w:space="0" w:color="auto"/>
            </w:tcBorders>
            <w:shd w:val="clear" w:color="auto" w:fill="auto"/>
          </w:tcPr>
          <w:p w14:paraId="6A948536" w14:textId="77777777" w:rsidR="00516503" w:rsidRPr="00E244A2" w:rsidRDefault="00516503"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color w:val="000000"/>
                <w:sz w:val="20"/>
              </w:rPr>
              <w:t>Australian Beverages Council Limited</w:t>
            </w:r>
          </w:p>
          <w:p w14:paraId="24768AEA" w14:textId="7535C85B" w:rsidR="00516503" w:rsidRPr="00E244A2" w:rsidRDefault="00516503"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color w:val="000000"/>
                <w:sz w:val="20"/>
              </w:rPr>
              <w:t>Australia Food &amp; Grocery Council</w:t>
            </w:r>
          </w:p>
          <w:p w14:paraId="68C6370A" w14:textId="5DC9DED5" w:rsidR="00516503" w:rsidRPr="00E244A2" w:rsidRDefault="00516503"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color w:val="000000"/>
                <w:sz w:val="20"/>
              </w:rPr>
              <w:t xml:space="preserve">New Zealand Beverages Council </w:t>
            </w:r>
          </w:p>
          <w:p w14:paraId="7D74E80F" w14:textId="4C868729" w:rsidR="00CD4A31" w:rsidRPr="00E244A2" w:rsidRDefault="00CD4A31"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p>
        </w:tc>
        <w:tc>
          <w:tcPr>
            <w:tcW w:w="1796" w:type="pct"/>
            <w:tcBorders>
              <w:left w:val="single" w:sz="4" w:space="0" w:color="auto"/>
              <w:bottom w:val="single" w:sz="4" w:space="0" w:color="auto"/>
            </w:tcBorders>
            <w:shd w:val="clear" w:color="auto" w:fill="auto"/>
          </w:tcPr>
          <w:p w14:paraId="1F423544" w14:textId="246835AE" w:rsidR="00B01C96" w:rsidRPr="00E244A2" w:rsidRDefault="007450A0"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r w:rsidRPr="00E244A2">
              <w:rPr>
                <w:rFonts w:eastAsia="Calibri"/>
                <w:sz w:val="20"/>
              </w:rPr>
              <w:t xml:space="preserve">Not supported. </w:t>
            </w:r>
            <w:r w:rsidR="00B01C96" w:rsidRPr="00E244A2">
              <w:rPr>
                <w:rFonts w:eastAsia="Calibri"/>
                <w:sz w:val="20"/>
              </w:rPr>
              <w:t>FSANZ</w:t>
            </w:r>
            <w:r w:rsidR="00B21298" w:rsidRPr="00E244A2">
              <w:rPr>
                <w:rFonts w:eastAsia="Calibri"/>
                <w:sz w:val="20"/>
              </w:rPr>
              <w:t xml:space="preserve">’s risk assessment </w:t>
            </w:r>
            <w:r w:rsidR="00B01C96" w:rsidRPr="00E244A2">
              <w:rPr>
                <w:rFonts w:eastAsia="Calibri"/>
                <w:sz w:val="20"/>
              </w:rPr>
              <w:t xml:space="preserve">reviewed the evidence under conditions of strenuous exercise for 60 minutes or more, </w:t>
            </w:r>
            <w:r w:rsidR="00B01C96" w:rsidRPr="00E244A2">
              <w:rPr>
                <w:rFonts w:eastAsia="Calibri"/>
                <w:sz w:val="20"/>
                <w:u w:val="single"/>
              </w:rPr>
              <w:t>not</w:t>
            </w:r>
            <w:r w:rsidR="00B01C96" w:rsidRPr="00E244A2">
              <w:rPr>
                <w:rFonts w:eastAsia="Calibri"/>
                <w:sz w:val="20"/>
              </w:rPr>
              <w:t xml:space="preserve"> prior to/before exercise.</w:t>
            </w:r>
          </w:p>
          <w:p w14:paraId="08F7907F" w14:textId="2CE615F6" w:rsidR="00CD4A31" w:rsidRPr="00E244A2" w:rsidRDefault="00CD4A31"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p>
        </w:tc>
      </w:tr>
      <w:tr w:rsidR="008C3F12" w14:paraId="13A37430" w14:textId="77777777" w:rsidTr="00D927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5" w:type="pct"/>
            <w:tcBorders>
              <w:bottom w:val="single" w:sz="4" w:space="0" w:color="auto"/>
              <w:right w:val="single" w:sz="4" w:space="0" w:color="auto"/>
            </w:tcBorders>
            <w:shd w:val="clear" w:color="auto" w:fill="auto"/>
          </w:tcPr>
          <w:p w14:paraId="2074A243" w14:textId="56D02538" w:rsidR="008C3F12" w:rsidRPr="00E244A2" w:rsidRDefault="00BD2921" w:rsidP="002B7876">
            <w:pPr>
              <w:pStyle w:val="FSCtblMain"/>
              <w:tabs>
                <w:tab w:val="clear" w:pos="3969"/>
                <w:tab w:val="right" w:pos="1944"/>
              </w:tabs>
              <w:spacing w:before="29" w:after="29"/>
              <w:rPr>
                <w:i/>
                <w:color w:val="000000"/>
                <w:sz w:val="20"/>
              </w:rPr>
            </w:pPr>
            <w:r>
              <w:rPr>
                <w:i/>
                <w:color w:val="000000"/>
                <w:sz w:val="20"/>
              </w:rPr>
              <w:t xml:space="preserve"> ‘</w:t>
            </w:r>
            <w:r w:rsidR="00F40244">
              <w:rPr>
                <w:i/>
                <w:color w:val="000000"/>
                <w:sz w:val="20"/>
              </w:rPr>
              <w:t>I</w:t>
            </w:r>
            <w:r>
              <w:rPr>
                <w:i/>
                <w:color w:val="000000"/>
                <w:sz w:val="20"/>
              </w:rPr>
              <w:t>mmediately after’</w:t>
            </w:r>
          </w:p>
          <w:p w14:paraId="2A9C94F0" w14:textId="723996C4" w:rsidR="00062001" w:rsidRPr="00E244A2" w:rsidRDefault="008C3F12" w:rsidP="002B7876">
            <w:pPr>
              <w:pStyle w:val="FSCtblMain"/>
              <w:tabs>
                <w:tab w:val="clear" w:pos="3969"/>
                <w:tab w:val="right" w:pos="1944"/>
              </w:tabs>
              <w:spacing w:before="29" w:after="29"/>
              <w:rPr>
                <w:b w:val="0"/>
                <w:sz w:val="20"/>
              </w:rPr>
            </w:pPr>
            <w:r w:rsidRPr="00E244A2">
              <w:rPr>
                <w:b w:val="0"/>
                <w:sz w:val="20"/>
              </w:rPr>
              <w:t xml:space="preserve">The term ‘immediately after’ should be included </w:t>
            </w:r>
            <w:r w:rsidR="0086147F">
              <w:rPr>
                <w:b w:val="0"/>
                <w:sz w:val="20"/>
              </w:rPr>
              <w:t>in reference to</w:t>
            </w:r>
            <w:r w:rsidR="0086147F" w:rsidRPr="00E244A2">
              <w:rPr>
                <w:b w:val="0"/>
                <w:sz w:val="20"/>
              </w:rPr>
              <w:t xml:space="preserve"> </w:t>
            </w:r>
            <w:r w:rsidRPr="00E244A2">
              <w:rPr>
                <w:b w:val="0"/>
                <w:sz w:val="20"/>
              </w:rPr>
              <w:t>the 60 minute</w:t>
            </w:r>
            <w:r w:rsidR="0086147F">
              <w:rPr>
                <w:b w:val="0"/>
                <w:sz w:val="20"/>
              </w:rPr>
              <w:t>s</w:t>
            </w:r>
            <w:r w:rsidRPr="00E244A2">
              <w:rPr>
                <w:b w:val="0"/>
                <w:sz w:val="20"/>
              </w:rPr>
              <w:t xml:space="preserve"> time</w:t>
            </w:r>
            <w:r w:rsidR="0086147F">
              <w:rPr>
                <w:b w:val="0"/>
                <w:sz w:val="20"/>
              </w:rPr>
              <w:t>frame</w:t>
            </w:r>
            <w:r w:rsidRPr="00E244A2">
              <w:rPr>
                <w:b w:val="0"/>
                <w:sz w:val="20"/>
              </w:rPr>
              <w:t>.</w:t>
            </w:r>
          </w:p>
          <w:p w14:paraId="09AFADC0" w14:textId="3086489E" w:rsidR="00062001" w:rsidRPr="00E244A2" w:rsidRDefault="00062001" w:rsidP="002B7876">
            <w:pPr>
              <w:pStyle w:val="FSCtblMain"/>
              <w:tabs>
                <w:tab w:val="clear" w:pos="3969"/>
                <w:tab w:val="right" w:pos="1944"/>
              </w:tabs>
              <w:spacing w:before="29" w:after="29"/>
              <w:rPr>
                <w:color w:val="000000"/>
                <w:sz w:val="20"/>
              </w:rPr>
            </w:pPr>
          </w:p>
        </w:tc>
        <w:tc>
          <w:tcPr>
            <w:tcW w:w="1539" w:type="pct"/>
            <w:tcBorders>
              <w:left w:val="single" w:sz="4" w:space="0" w:color="auto"/>
              <w:bottom w:val="single" w:sz="4" w:space="0" w:color="auto"/>
              <w:right w:val="single" w:sz="4" w:space="0" w:color="auto"/>
            </w:tcBorders>
            <w:shd w:val="clear" w:color="auto" w:fill="auto"/>
          </w:tcPr>
          <w:p w14:paraId="3BC1B031" w14:textId="77777777" w:rsidR="008C3F12" w:rsidRPr="00E244A2" w:rsidRDefault="008C3F12" w:rsidP="008C3F12">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sz w:val="20"/>
              </w:rPr>
              <w:t>Dietitians Australia</w:t>
            </w:r>
          </w:p>
          <w:p w14:paraId="33A96017" w14:textId="77777777" w:rsidR="008C3F12" w:rsidRPr="00E244A2" w:rsidRDefault="008C3F12"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p>
        </w:tc>
        <w:tc>
          <w:tcPr>
            <w:tcW w:w="1796" w:type="pct"/>
            <w:tcBorders>
              <w:left w:val="single" w:sz="4" w:space="0" w:color="auto"/>
              <w:bottom w:val="single" w:sz="4" w:space="0" w:color="auto"/>
            </w:tcBorders>
            <w:shd w:val="clear" w:color="auto" w:fill="auto"/>
          </w:tcPr>
          <w:p w14:paraId="26FFE22F" w14:textId="6A4D8250" w:rsidR="008C3F12" w:rsidRPr="00E244A2" w:rsidRDefault="00C206F9" w:rsidP="008C3F12">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 xml:space="preserve">Not supported. </w:t>
            </w:r>
            <w:r w:rsidR="008C3F12" w:rsidRPr="00E244A2">
              <w:rPr>
                <w:color w:val="000000"/>
                <w:sz w:val="20"/>
              </w:rPr>
              <w:t>FSANZ maintains the view that the proposed wording adequately captures the intended use</w:t>
            </w:r>
            <w:r w:rsidR="00753D4A">
              <w:rPr>
                <w:color w:val="000000"/>
                <w:sz w:val="20"/>
              </w:rPr>
              <w:t>, particularly when considered in the</w:t>
            </w:r>
            <w:r w:rsidR="00DF0A24">
              <w:rPr>
                <w:color w:val="000000"/>
                <w:sz w:val="20"/>
              </w:rPr>
              <w:t xml:space="preserve"> context of the wording in the definition </w:t>
            </w:r>
            <w:r w:rsidR="00753D4A">
              <w:rPr>
                <w:color w:val="000000"/>
                <w:sz w:val="20"/>
              </w:rPr>
              <w:t>(‘</w:t>
            </w:r>
            <w:r w:rsidR="00753D4A" w:rsidRPr="00753D4A">
              <w:rPr>
                <w:color w:val="000000"/>
                <w:sz w:val="20"/>
              </w:rPr>
              <w:t>during or after 60 minutes or more of sustained strenuous physical activity</w:t>
            </w:r>
            <w:r w:rsidR="00753D4A">
              <w:rPr>
                <w:color w:val="000000"/>
                <w:sz w:val="20"/>
              </w:rPr>
              <w:t>’)</w:t>
            </w:r>
            <w:r w:rsidR="00753D4A" w:rsidRPr="00753D4A">
              <w:rPr>
                <w:color w:val="000000"/>
                <w:sz w:val="20"/>
              </w:rPr>
              <w:t>.</w:t>
            </w:r>
            <w:r w:rsidR="00753D4A">
              <w:rPr>
                <w:color w:val="000000"/>
                <w:sz w:val="20"/>
              </w:rPr>
              <w:t xml:space="preserve"> The word ‘immediately’ may also not </w:t>
            </w:r>
            <w:r w:rsidR="000F1A95">
              <w:rPr>
                <w:color w:val="000000"/>
                <w:sz w:val="20"/>
              </w:rPr>
              <w:t xml:space="preserve">be clear </w:t>
            </w:r>
            <w:r w:rsidR="007C5D33">
              <w:rPr>
                <w:color w:val="000000"/>
                <w:sz w:val="20"/>
              </w:rPr>
              <w:t>or</w:t>
            </w:r>
            <w:r w:rsidR="000F1A95">
              <w:rPr>
                <w:color w:val="000000"/>
                <w:sz w:val="20"/>
              </w:rPr>
              <w:t xml:space="preserve"> </w:t>
            </w:r>
            <w:r w:rsidR="00753D4A">
              <w:rPr>
                <w:color w:val="000000"/>
                <w:sz w:val="20"/>
              </w:rPr>
              <w:t xml:space="preserve">provide clarification in this context. </w:t>
            </w:r>
          </w:p>
          <w:p w14:paraId="03D814D2" w14:textId="77777777" w:rsidR="008C3F12" w:rsidRPr="00E244A2" w:rsidRDefault="008C3F12"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rFonts w:eastAsia="Calibri"/>
                <w:sz w:val="20"/>
              </w:rPr>
            </w:pPr>
          </w:p>
        </w:tc>
      </w:tr>
      <w:tr w:rsidR="00516503" w14:paraId="561C9597" w14:textId="77777777" w:rsidTr="00D927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5" w:type="pct"/>
            <w:tcBorders>
              <w:right w:val="single" w:sz="4" w:space="0" w:color="auto"/>
            </w:tcBorders>
            <w:shd w:val="clear" w:color="auto" w:fill="auto"/>
          </w:tcPr>
          <w:p w14:paraId="0F5C3B20" w14:textId="5908EBED" w:rsidR="001C6492" w:rsidRPr="00E244A2" w:rsidRDefault="001C6492" w:rsidP="002B7876">
            <w:pPr>
              <w:pStyle w:val="FSCtblMain"/>
              <w:tabs>
                <w:tab w:val="clear" w:pos="3969"/>
                <w:tab w:val="right" w:pos="1944"/>
              </w:tabs>
              <w:spacing w:before="29" w:after="29"/>
              <w:rPr>
                <w:b w:val="0"/>
                <w:sz w:val="20"/>
              </w:rPr>
            </w:pPr>
            <w:r w:rsidRPr="00E244A2">
              <w:rPr>
                <w:i/>
                <w:sz w:val="20"/>
              </w:rPr>
              <w:lastRenderedPageBreak/>
              <w:t>Other</w:t>
            </w:r>
          </w:p>
          <w:p w14:paraId="31B0D196" w14:textId="6BCB1DC1" w:rsidR="00516503" w:rsidRPr="00E244A2" w:rsidRDefault="00516503" w:rsidP="002B7876">
            <w:pPr>
              <w:pStyle w:val="FSCtblMain"/>
              <w:tabs>
                <w:tab w:val="clear" w:pos="3969"/>
                <w:tab w:val="right" w:pos="1944"/>
              </w:tabs>
              <w:spacing w:before="29" w:after="29"/>
              <w:rPr>
                <w:b w:val="0"/>
                <w:sz w:val="20"/>
              </w:rPr>
            </w:pPr>
            <w:r w:rsidRPr="00E244A2">
              <w:rPr>
                <w:b w:val="0"/>
                <w:sz w:val="20"/>
              </w:rPr>
              <w:t>Type of exercise should be defined as ‘vigorous’ to align with Australian physical activity guidelines.</w:t>
            </w:r>
          </w:p>
          <w:p w14:paraId="0A73051D" w14:textId="77777777" w:rsidR="00516503" w:rsidRPr="00E244A2" w:rsidRDefault="00516503" w:rsidP="002B7876">
            <w:pPr>
              <w:pStyle w:val="FSCtblMain"/>
              <w:tabs>
                <w:tab w:val="clear" w:pos="3969"/>
                <w:tab w:val="right" w:pos="1944"/>
              </w:tabs>
              <w:spacing w:before="29" w:after="29"/>
              <w:rPr>
                <w:b w:val="0"/>
                <w:sz w:val="20"/>
              </w:rPr>
            </w:pPr>
            <w:r w:rsidRPr="00E244A2">
              <w:rPr>
                <w:b w:val="0"/>
                <w:sz w:val="20"/>
              </w:rPr>
              <w:t>Suggest the proposed wording around intended use is a little ambiguous and could be taken to mean ‘for rapid hydration in activity under or over 60 minutes’, instead of clarifying these products are only effective for longer bouts of exercise.</w:t>
            </w:r>
          </w:p>
          <w:p w14:paraId="75D65D40" w14:textId="19B0E087" w:rsidR="00516503" w:rsidRPr="00E244A2" w:rsidRDefault="00516503" w:rsidP="002B7876">
            <w:pPr>
              <w:pStyle w:val="FSCtblMain"/>
              <w:tabs>
                <w:tab w:val="clear" w:pos="3969"/>
                <w:tab w:val="right" w:pos="1944"/>
              </w:tabs>
              <w:spacing w:before="29" w:after="29"/>
              <w:rPr>
                <w:b w:val="0"/>
                <w:sz w:val="20"/>
              </w:rPr>
            </w:pPr>
            <w:r w:rsidRPr="00E244A2">
              <w:rPr>
                <w:b w:val="0"/>
                <w:i/>
                <w:sz w:val="20"/>
              </w:rPr>
              <w:t>‘</w:t>
            </w:r>
            <w:r w:rsidRPr="002B3B1B">
              <w:rPr>
                <w:b w:val="0"/>
                <w:sz w:val="20"/>
              </w:rPr>
              <w:t xml:space="preserve">During or after’ is ambiguous </w:t>
            </w:r>
            <w:r w:rsidR="002B3B1B" w:rsidRPr="002B3B1B">
              <w:rPr>
                <w:b w:val="0"/>
                <w:sz w:val="20"/>
              </w:rPr>
              <w:t>and</w:t>
            </w:r>
            <w:r w:rsidRPr="002B3B1B">
              <w:rPr>
                <w:b w:val="0"/>
                <w:sz w:val="20"/>
              </w:rPr>
              <w:t xml:space="preserve"> could be adjusted to ‘that lasts 60 minutes or more’</w:t>
            </w:r>
            <w:r w:rsidR="002B3B1B" w:rsidRPr="002B3B1B">
              <w:rPr>
                <w:b w:val="0"/>
                <w:sz w:val="20"/>
              </w:rPr>
              <w:t>.</w:t>
            </w:r>
          </w:p>
          <w:p w14:paraId="18FE216B" w14:textId="77777777" w:rsidR="00516503" w:rsidRDefault="00516503" w:rsidP="002B7876">
            <w:pPr>
              <w:pStyle w:val="FSCtblMain"/>
              <w:tabs>
                <w:tab w:val="clear" w:pos="3969"/>
                <w:tab w:val="right" w:pos="1944"/>
              </w:tabs>
              <w:spacing w:before="29" w:after="29"/>
              <w:rPr>
                <w:b w:val="0"/>
                <w:sz w:val="20"/>
              </w:rPr>
            </w:pPr>
            <w:r w:rsidRPr="00E244A2">
              <w:rPr>
                <w:b w:val="0"/>
                <w:sz w:val="20"/>
              </w:rPr>
              <w:t xml:space="preserve">Suggest inclusion of the </w:t>
            </w:r>
            <w:r w:rsidRPr="002B3B1B">
              <w:rPr>
                <w:b w:val="0"/>
                <w:sz w:val="20"/>
              </w:rPr>
              <w:t>word ‘constant’ to inform</w:t>
            </w:r>
            <w:r w:rsidRPr="00E244A2">
              <w:rPr>
                <w:b w:val="0"/>
                <w:sz w:val="20"/>
              </w:rPr>
              <w:t xml:space="preserve"> consumers these products are meant to aid recovery from high intensity continual physical activity</w:t>
            </w:r>
            <w:r w:rsidR="000F1A95">
              <w:rPr>
                <w:b w:val="0"/>
                <w:sz w:val="20"/>
              </w:rPr>
              <w:t>.</w:t>
            </w:r>
          </w:p>
          <w:p w14:paraId="1F3EDF65" w14:textId="4FEB829A" w:rsidR="009E6468" w:rsidRPr="00E244A2" w:rsidRDefault="009E6468" w:rsidP="002B7876">
            <w:pPr>
              <w:pStyle w:val="FSCtblMain"/>
              <w:tabs>
                <w:tab w:val="clear" w:pos="3969"/>
                <w:tab w:val="right" w:pos="1944"/>
              </w:tabs>
              <w:spacing w:before="29" w:after="29"/>
              <w:rPr>
                <w:b w:val="0"/>
                <w:sz w:val="20"/>
              </w:rPr>
            </w:pPr>
          </w:p>
        </w:tc>
        <w:tc>
          <w:tcPr>
            <w:tcW w:w="1539" w:type="pct"/>
            <w:tcBorders>
              <w:left w:val="single" w:sz="4" w:space="0" w:color="auto"/>
              <w:right w:val="single" w:sz="4" w:space="0" w:color="auto"/>
            </w:tcBorders>
            <w:shd w:val="clear" w:color="auto" w:fill="auto"/>
          </w:tcPr>
          <w:p w14:paraId="38321B93" w14:textId="77777777" w:rsidR="00516503" w:rsidRPr="00E244A2" w:rsidRDefault="00516503"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p>
          <w:p w14:paraId="6731E80A" w14:textId="7ED38BE9" w:rsidR="009E1EFA" w:rsidRPr="00E244A2" w:rsidRDefault="009E1EFA"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r w:rsidRPr="00E244A2">
              <w:rPr>
                <w:sz w:val="20"/>
              </w:rPr>
              <w:t>C</w:t>
            </w:r>
            <w:r w:rsidR="00A27160" w:rsidRPr="00E244A2">
              <w:rPr>
                <w:sz w:val="20"/>
              </w:rPr>
              <w:t xml:space="preserve">ancer </w:t>
            </w:r>
            <w:r w:rsidRPr="00E244A2">
              <w:rPr>
                <w:sz w:val="20"/>
              </w:rPr>
              <w:t>C</w:t>
            </w:r>
            <w:r w:rsidR="00A27160" w:rsidRPr="00E244A2">
              <w:rPr>
                <w:sz w:val="20"/>
              </w:rPr>
              <w:t xml:space="preserve">ouncil of </w:t>
            </w:r>
            <w:r w:rsidRPr="00E244A2">
              <w:rPr>
                <w:sz w:val="20"/>
              </w:rPr>
              <w:t>A</w:t>
            </w:r>
            <w:r w:rsidR="00A27160" w:rsidRPr="00E244A2">
              <w:rPr>
                <w:sz w:val="20"/>
              </w:rPr>
              <w:t>ustralia</w:t>
            </w:r>
          </w:p>
          <w:p w14:paraId="1962CF67" w14:textId="77777777" w:rsidR="009E1EFA" w:rsidRDefault="009E1EFA"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p>
          <w:p w14:paraId="2E62B505" w14:textId="77777777" w:rsidR="002B3B1B" w:rsidRPr="00E244A2" w:rsidRDefault="002B3B1B"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p>
          <w:p w14:paraId="521D5EE1" w14:textId="2923DCEB" w:rsidR="00516503" w:rsidRPr="00E244A2" w:rsidRDefault="00A27160"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r w:rsidRPr="00E244A2">
              <w:rPr>
                <w:sz w:val="20"/>
              </w:rPr>
              <w:t xml:space="preserve">Victorian Department </w:t>
            </w:r>
            <w:r w:rsidR="00516503" w:rsidRPr="00E244A2">
              <w:rPr>
                <w:sz w:val="20"/>
              </w:rPr>
              <w:t xml:space="preserve">of Health </w:t>
            </w:r>
          </w:p>
          <w:p w14:paraId="314FD481" w14:textId="77777777" w:rsidR="00516503" w:rsidRPr="00E244A2" w:rsidRDefault="00516503"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p>
          <w:p w14:paraId="328B973A" w14:textId="77777777" w:rsidR="00516503" w:rsidRPr="00E244A2" w:rsidRDefault="00516503"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p>
          <w:p w14:paraId="28A595FF" w14:textId="2555A5B5" w:rsidR="00516503" w:rsidRPr="00E244A2" w:rsidRDefault="00516503"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p>
          <w:p w14:paraId="055984F4" w14:textId="77777777" w:rsidR="008C3F12" w:rsidRPr="00E244A2" w:rsidRDefault="008C3F12"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p>
          <w:p w14:paraId="2F920082" w14:textId="77777777" w:rsidR="008C3F12" w:rsidRPr="00B14F2A" w:rsidRDefault="008C3F12"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4"/>
              </w:rPr>
            </w:pPr>
          </w:p>
          <w:p w14:paraId="4A0CE0BC" w14:textId="3CFD886B" w:rsidR="00516503" w:rsidRPr="00E244A2" w:rsidRDefault="00516503"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sz w:val="20"/>
              </w:rPr>
              <w:t>N</w:t>
            </w:r>
            <w:r w:rsidR="00A27160" w:rsidRPr="00E244A2">
              <w:rPr>
                <w:sz w:val="20"/>
              </w:rPr>
              <w:t xml:space="preserve">ew </w:t>
            </w:r>
            <w:r w:rsidRPr="00E244A2">
              <w:rPr>
                <w:sz w:val="20"/>
              </w:rPr>
              <w:t>S</w:t>
            </w:r>
            <w:r w:rsidR="00A27160" w:rsidRPr="00E244A2">
              <w:rPr>
                <w:sz w:val="20"/>
              </w:rPr>
              <w:t xml:space="preserve">outh </w:t>
            </w:r>
            <w:r w:rsidRPr="00E244A2">
              <w:rPr>
                <w:sz w:val="20"/>
              </w:rPr>
              <w:t>W</w:t>
            </w:r>
            <w:r w:rsidR="00A27160" w:rsidRPr="00E244A2">
              <w:rPr>
                <w:sz w:val="20"/>
              </w:rPr>
              <w:t>ales</w:t>
            </w:r>
            <w:r w:rsidRPr="00E244A2">
              <w:rPr>
                <w:sz w:val="20"/>
              </w:rPr>
              <w:t xml:space="preserve"> F</w:t>
            </w:r>
            <w:r w:rsidR="00A27160" w:rsidRPr="00E244A2">
              <w:rPr>
                <w:sz w:val="20"/>
              </w:rPr>
              <w:t xml:space="preserve">ood </w:t>
            </w:r>
            <w:r w:rsidRPr="00E244A2">
              <w:rPr>
                <w:sz w:val="20"/>
              </w:rPr>
              <w:t>A</w:t>
            </w:r>
            <w:r w:rsidR="00A27160" w:rsidRPr="00E244A2">
              <w:rPr>
                <w:sz w:val="20"/>
              </w:rPr>
              <w:t>uthority</w:t>
            </w:r>
          </w:p>
        </w:tc>
        <w:tc>
          <w:tcPr>
            <w:tcW w:w="1796" w:type="pct"/>
            <w:tcBorders>
              <w:left w:val="single" w:sz="4" w:space="0" w:color="auto"/>
            </w:tcBorders>
            <w:shd w:val="clear" w:color="auto" w:fill="auto"/>
          </w:tcPr>
          <w:p w14:paraId="544E621C" w14:textId="3212A6A6" w:rsidR="002B3B1B" w:rsidRPr="001C2F24" w:rsidRDefault="00C206F9"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r w:rsidRPr="001C2F24">
              <w:rPr>
                <w:sz w:val="20"/>
              </w:rPr>
              <w:t xml:space="preserve">Not supported. </w:t>
            </w:r>
            <w:r w:rsidR="006802AE" w:rsidRPr="001C2F24">
              <w:rPr>
                <w:sz w:val="20"/>
              </w:rPr>
              <w:t>FSANZ maintains the view that the proposed wording adequately</w:t>
            </w:r>
            <w:r w:rsidR="001C2F24" w:rsidRPr="001C2F24">
              <w:rPr>
                <w:sz w:val="20"/>
              </w:rPr>
              <w:t xml:space="preserve"> reflects and is consistent with the nature of the product being regulated</w:t>
            </w:r>
            <w:r w:rsidR="006802AE" w:rsidRPr="001C2F24">
              <w:rPr>
                <w:sz w:val="20"/>
              </w:rPr>
              <w:t xml:space="preserve">. </w:t>
            </w:r>
            <w:r w:rsidR="002B3B1B" w:rsidRPr="001C2F24">
              <w:rPr>
                <w:sz w:val="20"/>
              </w:rPr>
              <w:t xml:space="preserve">The definition is not designed to inform consumers about the product. </w:t>
            </w:r>
          </w:p>
          <w:p w14:paraId="55602DB5" w14:textId="0D290C3B" w:rsidR="001C2F24" w:rsidRDefault="001C2F24"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p>
          <w:p w14:paraId="6B166B3B" w14:textId="77777777" w:rsidR="00516503" w:rsidRPr="00E244A2" w:rsidRDefault="00516503" w:rsidP="001C2F24">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p>
        </w:tc>
      </w:tr>
      <w:tr w:rsidR="00CD4A31" w:rsidRPr="00B14F2A" w14:paraId="16EE198D" w14:textId="77777777" w:rsidTr="00D927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auto"/>
            </w:tcBorders>
            <w:shd w:val="clear" w:color="auto" w:fill="EAF1DD" w:themeFill="accent3" w:themeFillTint="33"/>
          </w:tcPr>
          <w:p w14:paraId="72E6AFAB" w14:textId="7805F432" w:rsidR="00CD4A31" w:rsidRPr="00B14F2A" w:rsidRDefault="00267603" w:rsidP="002B7876">
            <w:pPr>
              <w:pStyle w:val="FSCtblMain"/>
              <w:tabs>
                <w:tab w:val="clear" w:pos="3969"/>
                <w:tab w:val="right" w:pos="1944"/>
              </w:tabs>
              <w:spacing w:before="29" w:after="29"/>
              <w:rPr>
                <w:color w:val="000000"/>
                <w:sz w:val="20"/>
                <w:szCs w:val="18"/>
              </w:rPr>
            </w:pPr>
            <w:r w:rsidRPr="00B14F2A">
              <w:rPr>
                <w:color w:val="000000"/>
                <w:sz w:val="20"/>
                <w:szCs w:val="18"/>
              </w:rPr>
              <w:t>Composition</w:t>
            </w:r>
          </w:p>
        </w:tc>
      </w:tr>
      <w:tr w:rsidR="00CD4A31" w14:paraId="1430FED3" w14:textId="77777777" w:rsidTr="00D927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5" w:type="pct"/>
            <w:tcBorders>
              <w:bottom w:val="single" w:sz="4" w:space="0" w:color="auto"/>
              <w:right w:val="single" w:sz="4" w:space="0" w:color="auto"/>
            </w:tcBorders>
            <w:shd w:val="clear" w:color="auto" w:fill="FFFFFF" w:themeFill="background1"/>
          </w:tcPr>
          <w:p w14:paraId="572CC02B" w14:textId="77777777" w:rsidR="00CD4A31" w:rsidRPr="00E244A2" w:rsidRDefault="00CD4A31" w:rsidP="002B7876">
            <w:pPr>
              <w:pStyle w:val="FSCtblMain"/>
              <w:tabs>
                <w:tab w:val="clear" w:pos="3969"/>
                <w:tab w:val="right" w:pos="1944"/>
              </w:tabs>
              <w:spacing w:before="29" w:after="29"/>
              <w:rPr>
                <w:i/>
                <w:sz w:val="20"/>
              </w:rPr>
            </w:pPr>
            <w:r w:rsidRPr="00E244A2">
              <w:rPr>
                <w:i/>
                <w:sz w:val="20"/>
              </w:rPr>
              <w:t xml:space="preserve">Minimum </w:t>
            </w:r>
            <w:r w:rsidR="00302104" w:rsidRPr="00E244A2">
              <w:rPr>
                <w:i/>
                <w:sz w:val="20"/>
              </w:rPr>
              <w:t xml:space="preserve">carbohydrate </w:t>
            </w:r>
          </w:p>
          <w:p w14:paraId="3A782035" w14:textId="77777777" w:rsidR="00ED3AFD" w:rsidRPr="00E244A2" w:rsidRDefault="009A5B94" w:rsidP="002B7876">
            <w:pPr>
              <w:pStyle w:val="FSCtblMain"/>
              <w:tabs>
                <w:tab w:val="clear" w:pos="3969"/>
                <w:tab w:val="right" w:pos="1944"/>
              </w:tabs>
              <w:spacing w:before="29" w:after="29"/>
              <w:rPr>
                <w:b w:val="0"/>
                <w:color w:val="000000"/>
                <w:sz w:val="20"/>
              </w:rPr>
            </w:pPr>
            <w:r w:rsidRPr="00E244A2">
              <w:rPr>
                <w:b w:val="0"/>
                <w:color w:val="000000"/>
                <w:sz w:val="20"/>
              </w:rPr>
              <w:t xml:space="preserve">Recommend </w:t>
            </w:r>
            <w:r w:rsidR="00ED3AFD" w:rsidRPr="00E244A2">
              <w:rPr>
                <w:b w:val="0"/>
                <w:color w:val="000000"/>
                <w:sz w:val="20"/>
              </w:rPr>
              <w:t xml:space="preserve">a more extensive review of the carbohydrate content of electrolytes including the: </w:t>
            </w:r>
          </w:p>
          <w:p w14:paraId="7D830524" w14:textId="647157DC" w:rsidR="00ED3AFD" w:rsidRPr="00E244A2" w:rsidRDefault="00ED3AFD" w:rsidP="00CC417B">
            <w:pPr>
              <w:pStyle w:val="FSCtblMain"/>
              <w:numPr>
                <w:ilvl w:val="0"/>
                <w:numId w:val="34"/>
              </w:numPr>
              <w:tabs>
                <w:tab w:val="clear" w:pos="3969"/>
                <w:tab w:val="right" w:pos="1944"/>
              </w:tabs>
              <w:spacing w:before="29" w:after="29"/>
              <w:ind w:left="176" w:hanging="176"/>
              <w:rPr>
                <w:b w:val="0"/>
                <w:color w:val="000000"/>
                <w:sz w:val="20"/>
              </w:rPr>
            </w:pPr>
            <w:r w:rsidRPr="00E244A2">
              <w:rPr>
                <w:b w:val="0"/>
                <w:color w:val="000000"/>
                <w:sz w:val="20"/>
              </w:rPr>
              <w:t>types of carbohydrate</w:t>
            </w:r>
          </w:p>
          <w:p w14:paraId="13A8B53E" w14:textId="4518FFD3" w:rsidR="00ED3AFD" w:rsidRPr="00E244A2" w:rsidRDefault="00ED3AFD" w:rsidP="00CC417B">
            <w:pPr>
              <w:pStyle w:val="FSCtblMain"/>
              <w:numPr>
                <w:ilvl w:val="0"/>
                <w:numId w:val="34"/>
              </w:numPr>
              <w:tabs>
                <w:tab w:val="clear" w:pos="3969"/>
                <w:tab w:val="right" w:pos="1944"/>
              </w:tabs>
              <w:spacing w:before="29" w:after="29"/>
              <w:ind w:left="176" w:hanging="176"/>
              <w:rPr>
                <w:b w:val="0"/>
                <w:color w:val="000000"/>
                <w:sz w:val="20"/>
              </w:rPr>
            </w:pPr>
            <w:r w:rsidRPr="00E244A2">
              <w:rPr>
                <w:b w:val="0"/>
                <w:color w:val="000000"/>
                <w:sz w:val="20"/>
              </w:rPr>
              <w:t xml:space="preserve">minimum and maximum </w:t>
            </w:r>
            <w:r w:rsidR="00F442FD" w:rsidRPr="00E244A2">
              <w:rPr>
                <w:b w:val="0"/>
                <w:color w:val="000000"/>
                <w:sz w:val="20"/>
              </w:rPr>
              <w:t>carbohydrate</w:t>
            </w:r>
            <w:r w:rsidRPr="00E244A2">
              <w:rPr>
                <w:b w:val="0"/>
                <w:color w:val="000000"/>
                <w:sz w:val="20"/>
              </w:rPr>
              <w:t xml:space="preserve"> </w:t>
            </w:r>
            <w:r w:rsidR="009A5B94" w:rsidRPr="00E244A2">
              <w:rPr>
                <w:b w:val="0"/>
                <w:color w:val="000000"/>
                <w:sz w:val="20"/>
              </w:rPr>
              <w:t xml:space="preserve">range </w:t>
            </w:r>
          </w:p>
          <w:p w14:paraId="50C9BE8C" w14:textId="77777777" w:rsidR="009A5B94" w:rsidRDefault="009A5B94" w:rsidP="00CC417B">
            <w:pPr>
              <w:pStyle w:val="FSCtblMain"/>
              <w:numPr>
                <w:ilvl w:val="0"/>
                <w:numId w:val="34"/>
              </w:numPr>
              <w:tabs>
                <w:tab w:val="clear" w:pos="3969"/>
                <w:tab w:val="right" w:pos="1944"/>
              </w:tabs>
              <w:spacing w:before="29" w:after="29"/>
              <w:ind w:left="176" w:hanging="176"/>
              <w:rPr>
                <w:b w:val="0"/>
                <w:color w:val="000000"/>
                <w:sz w:val="20"/>
              </w:rPr>
            </w:pPr>
            <w:r w:rsidRPr="00E244A2">
              <w:rPr>
                <w:b w:val="0"/>
                <w:color w:val="000000"/>
                <w:sz w:val="20"/>
              </w:rPr>
              <w:t>to</w:t>
            </w:r>
            <w:r w:rsidR="0078569F" w:rsidRPr="00E244A2">
              <w:rPr>
                <w:b w:val="0"/>
                <w:color w:val="000000"/>
                <w:sz w:val="20"/>
              </w:rPr>
              <w:t xml:space="preserve"> capture</w:t>
            </w:r>
            <w:r w:rsidRPr="00E244A2">
              <w:rPr>
                <w:b w:val="0"/>
                <w:color w:val="000000"/>
                <w:sz w:val="20"/>
              </w:rPr>
              <w:t xml:space="preserve"> all products</w:t>
            </w:r>
            <w:r w:rsidR="0078569F" w:rsidRPr="00E244A2">
              <w:rPr>
                <w:b w:val="0"/>
                <w:color w:val="000000"/>
                <w:sz w:val="20"/>
              </w:rPr>
              <w:t xml:space="preserve"> currently that are available </w:t>
            </w:r>
            <w:r w:rsidRPr="00E244A2">
              <w:rPr>
                <w:b w:val="0"/>
                <w:color w:val="000000"/>
                <w:sz w:val="20"/>
              </w:rPr>
              <w:t>in the market</w:t>
            </w:r>
            <w:r w:rsidR="0078569F" w:rsidRPr="00E244A2">
              <w:rPr>
                <w:b w:val="0"/>
                <w:color w:val="000000"/>
                <w:sz w:val="20"/>
              </w:rPr>
              <w:t xml:space="preserve"> and to </w:t>
            </w:r>
            <w:r w:rsidRPr="00E244A2">
              <w:rPr>
                <w:b w:val="0"/>
                <w:color w:val="000000"/>
                <w:sz w:val="20"/>
              </w:rPr>
              <w:t>meet the needs of all</w:t>
            </w:r>
            <w:r w:rsidR="0078569F" w:rsidRPr="00E244A2">
              <w:rPr>
                <w:b w:val="0"/>
                <w:color w:val="000000"/>
                <w:sz w:val="20"/>
              </w:rPr>
              <w:t xml:space="preserve"> end users.</w:t>
            </w:r>
          </w:p>
          <w:p w14:paraId="15746842" w14:textId="2446F24A" w:rsidR="009E6468" w:rsidRPr="00E244A2" w:rsidRDefault="009E6468" w:rsidP="009E6468">
            <w:pPr>
              <w:pStyle w:val="FSCtblMain"/>
              <w:tabs>
                <w:tab w:val="clear" w:pos="3969"/>
                <w:tab w:val="right" w:pos="1944"/>
              </w:tabs>
              <w:spacing w:before="29" w:after="29"/>
              <w:rPr>
                <w:b w:val="0"/>
                <w:color w:val="000000"/>
                <w:sz w:val="20"/>
              </w:rPr>
            </w:pPr>
          </w:p>
        </w:tc>
        <w:tc>
          <w:tcPr>
            <w:tcW w:w="1539" w:type="pct"/>
            <w:tcBorders>
              <w:left w:val="single" w:sz="4" w:space="0" w:color="auto"/>
              <w:bottom w:val="single" w:sz="4" w:space="0" w:color="auto"/>
              <w:right w:val="single" w:sz="4" w:space="0" w:color="auto"/>
            </w:tcBorders>
            <w:shd w:val="clear" w:color="auto" w:fill="FFFFFF" w:themeFill="background1"/>
          </w:tcPr>
          <w:p w14:paraId="2C7BEACC" w14:textId="77777777" w:rsidR="00CD4A31" w:rsidRPr="00E244A2" w:rsidRDefault="00CD4A31"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p>
          <w:p w14:paraId="685BDF4F" w14:textId="4921E95B" w:rsidR="0078569F" w:rsidRPr="00E244A2" w:rsidRDefault="00B56081"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color w:val="000000"/>
                <w:sz w:val="20"/>
              </w:rPr>
              <w:t>T</w:t>
            </w:r>
            <w:r w:rsidR="0078569F" w:rsidRPr="00E244A2">
              <w:rPr>
                <w:color w:val="000000"/>
                <w:sz w:val="20"/>
              </w:rPr>
              <w:t>asmanian Department of Health</w:t>
            </w:r>
          </w:p>
          <w:p w14:paraId="2DD0715D" w14:textId="24C90A2D" w:rsidR="00B56081" w:rsidRPr="00E244A2" w:rsidRDefault="00B56081"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color w:val="000000"/>
                <w:sz w:val="20"/>
              </w:rPr>
              <w:t>Sports Dietitians Australia</w:t>
            </w:r>
          </w:p>
        </w:tc>
        <w:tc>
          <w:tcPr>
            <w:tcW w:w="1796" w:type="pct"/>
            <w:tcBorders>
              <w:left w:val="single" w:sz="4" w:space="0" w:color="auto"/>
              <w:bottom w:val="single" w:sz="4" w:space="0" w:color="auto"/>
            </w:tcBorders>
            <w:shd w:val="clear" w:color="auto" w:fill="FFFFFF" w:themeFill="background1"/>
          </w:tcPr>
          <w:p w14:paraId="69C8862A" w14:textId="026651A3" w:rsidR="006F1812" w:rsidRPr="00E244A2" w:rsidRDefault="006F1812"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lang w:val="en-AU"/>
              </w:rPr>
            </w:pPr>
            <w:r w:rsidRPr="00E244A2">
              <w:rPr>
                <w:sz w:val="20"/>
                <w:lang w:val="en-AU"/>
              </w:rPr>
              <w:t xml:space="preserve">The risk assessment in SD1 included a review of all studies that assessed the effect of electrolyte drinks (5-10% CHO), with a similar drink with less than 5% carbohydrate that fulfilled the </w:t>
            </w:r>
            <w:r w:rsidR="00837574" w:rsidRPr="00E244A2">
              <w:rPr>
                <w:sz w:val="20"/>
                <w:lang w:val="en-AU"/>
              </w:rPr>
              <w:t xml:space="preserve">current </w:t>
            </w:r>
            <w:r w:rsidRPr="00E244A2">
              <w:rPr>
                <w:sz w:val="20"/>
                <w:lang w:val="en-AU"/>
              </w:rPr>
              <w:t>definition of electrolyte drinks in the Code.</w:t>
            </w:r>
          </w:p>
          <w:p w14:paraId="3099B7E8" w14:textId="7FB2FF61" w:rsidR="00CD4A31" w:rsidRPr="00E244A2" w:rsidRDefault="00F442FD"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sz w:val="20"/>
              </w:rPr>
              <w:t>T</w:t>
            </w:r>
            <w:r w:rsidR="00B56081" w:rsidRPr="00E244A2">
              <w:rPr>
                <w:sz w:val="20"/>
              </w:rPr>
              <w:t>he</w:t>
            </w:r>
            <w:r w:rsidR="00837574" w:rsidRPr="00E244A2">
              <w:rPr>
                <w:sz w:val="20"/>
              </w:rPr>
              <w:t xml:space="preserve"> types of carbohydrate and the maximum threshold </w:t>
            </w:r>
            <w:r w:rsidR="00996520" w:rsidRPr="00E244A2">
              <w:rPr>
                <w:sz w:val="20"/>
              </w:rPr>
              <w:t>were beyond the scope of this P</w:t>
            </w:r>
            <w:r w:rsidR="00B56081" w:rsidRPr="00E244A2">
              <w:rPr>
                <w:sz w:val="20"/>
              </w:rPr>
              <w:t>roposal</w:t>
            </w:r>
            <w:r w:rsidRPr="00E244A2">
              <w:rPr>
                <w:sz w:val="20"/>
              </w:rPr>
              <w:t xml:space="preserve"> and therefore did not form part of the risk assessment</w:t>
            </w:r>
            <w:r w:rsidR="00B56081" w:rsidRPr="00E244A2">
              <w:rPr>
                <w:sz w:val="20"/>
              </w:rPr>
              <w:t>.</w:t>
            </w:r>
          </w:p>
        </w:tc>
      </w:tr>
      <w:tr w:rsidR="002C3372" w14:paraId="4EB68A86" w14:textId="77777777" w:rsidTr="00D927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5" w:type="pct"/>
            <w:tcBorders>
              <w:bottom w:val="single" w:sz="4" w:space="0" w:color="auto"/>
              <w:right w:val="single" w:sz="4" w:space="0" w:color="auto"/>
            </w:tcBorders>
            <w:shd w:val="clear" w:color="auto" w:fill="FFFFFF" w:themeFill="background1"/>
          </w:tcPr>
          <w:p w14:paraId="5B9A7442" w14:textId="41F4CCD0" w:rsidR="002C3372" w:rsidRPr="00E244A2" w:rsidRDefault="002C3372" w:rsidP="002C3372">
            <w:pPr>
              <w:pStyle w:val="FSCtblMain"/>
              <w:tabs>
                <w:tab w:val="clear" w:pos="3969"/>
                <w:tab w:val="right" w:pos="1944"/>
              </w:tabs>
              <w:spacing w:before="29" w:after="29"/>
              <w:rPr>
                <w:i/>
                <w:sz w:val="20"/>
              </w:rPr>
            </w:pPr>
            <w:r w:rsidRPr="00E244A2">
              <w:rPr>
                <w:i/>
                <w:sz w:val="20"/>
              </w:rPr>
              <w:lastRenderedPageBreak/>
              <w:t>Maximum Fructose</w:t>
            </w:r>
            <w:r w:rsidRPr="00E244A2">
              <w:rPr>
                <w:b w:val="0"/>
                <w:color w:val="000000"/>
                <w:sz w:val="20"/>
              </w:rPr>
              <w:t xml:space="preserve"> </w:t>
            </w:r>
          </w:p>
          <w:p w14:paraId="1E2BFD37" w14:textId="4367552B" w:rsidR="002C3372" w:rsidRPr="00E244A2" w:rsidRDefault="002C3372" w:rsidP="002C3372">
            <w:pPr>
              <w:pStyle w:val="FSCtblMain"/>
              <w:tabs>
                <w:tab w:val="clear" w:pos="3969"/>
                <w:tab w:val="right" w:pos="1944"/>
              </w:tabs>
              <w:spacing w:before="29" w:after="29"/>
              <w:rPr>
                <w:b w:val="0"/>
                <w:color w:val="000000"/>
                <w:sz w:val="20"/>
              </w:rPr>
            </w:pPr>
            <w:r w:rsidRPr="00E244A2">
              <w:rPr>
                <w:b w:val="0"/>
                <w:color w:val="000000"/>
                <w:sz w:val="20"/>
              </w:rPr>
              <w:t xml:space="preserve">Opposition to the proposed variation to reduce the maximum amount of fructose permitted in electrolyte drinks from 50 to 20g/L with suggestions to align the reduction relative to the amount of total carbohydrate. </w:t>
            </w:r>
          </w:p>
          <w:p w14:paraId="75515519" w14:textId="4E3C588A" w:rsidR="002C3372" w:rsidRPr="00E244A2" w:rsidRDefault="002C3372" w:rsidP="002C3372">
            <w:pPr>
              <w:pStyle w:val="FSCtblMain"/>
              <w:tabs>
                <w:tab w:val="clear" w:pos="3969"/>
                <w:tab w:val="right" w:pos="1944"/>
              </w:tabs>
              <w:spacing w:before="29" w:after="29"/>
              <w:rPr>
                <w:b w:val="0"/>
                <w:color w:val="000000"/>
                <w:sz w:val="20"/>
              </w:rPr>
            </w:pPr>
            <w:r w:rsidRPr="00E244A2">
              <w:rPr>
                <w:b w:val="0"/>
                <w:color w:val="000000"/>
                <w:sz w:val="20"/>
              </w:rPr>
              <w:t xml:space="preserve"> </w:t>
            </w:r>
          </w:p>
        </w:tc>
        <w:tc>
          <w:tcPr>
            <w:tcW w:w="1539" w:type="pct"/>
            <w:tcBorders>
              <w:left w:val="single" w:sz="4" w:space="0" w:color="auto"/>
              <w:bottom w:val="single" w:sz="4" w:space="0" w:color="auto"/>
              <w:right w:val="single" w:sz="4" w:space="0" w:color="auto"/>
            </w:tcBorders>
            <w:shd w:val="clear" w:color="auto" w:fill="FFFFFF" w:themeFill="background1"/>
          </w:tcPr>
          <w:p w14:paraId="4D245905" w14:textId="77777777" w:rsidR="002C3372" w:rsidRPr="00E244A2" w:rsidRDefault="002C3372" w:rsidP="002C3372">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Australian Beverages Council Limited</w:t>
            </w:r>
          </w:p>
          <w:p w14:paraId="0677FB2C" w14:textId="77777777" w:rsidR="002C3372" w:rsidRPr="00E244A2" w:rsidRDefault="002C3372" w:rsidP="002C3372">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Australia Food &amp; Grocery Council</w:t>
            </w:r>
          </w:p>
          <w:p w14:paraId="43EB7F1B" w14:textId="77777777" w:rsidR="002C3372" w:rsidRPr="00E244A2" w:rsidRDefault="002C3372" w:rsidP="002C3372">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 xml:space="preserve">Dietitians Australia </w:t>
            </w:r>
          </w:p>
          <w:p w14:paraId="3C780A85" w14:textId="77777777" w:rsidR="002C3372" w:rsidRPr="00E244A2" w:rsidRDefault="002C3372" w:rsidP="002C3372">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 xml:space="preserve">New Zealand Food &amp; Grocery Council </w:t>
            </w:r>
          </w:p>
          <w:p w14:paraId="643876BE" w14:textId="77777777" w:rsidR="002C3372" w:rsidRPr="00E244A2" w:rsidRDefault="002C3372" w:rsidP="002C3372">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 xml:space="preserve">New Zealand Food Safety </w:t>
            </w:r>
          </w:p>
          <w:p w14:paraId="4C3A92F2" w14:textId="65303C79" w:rsidR="002C3372" w:rsidRPr="00E244A2" w:rsidRDefault="002C3372" w:rsidP="002C3372">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Sports Dietitians Association</w:t>
            </w:r>
          </w:p>
        </w:tc>
        <w:tc>
          <w:tcPr>
            <w:tcW w:w="1796" w:type="pct"/>
            <w:tcBorders>
              <w:left w:val="single" w:sz="4" w:space="0" w:color="auto"/>
              <w:bottom w:val="single" w:sz="4" w:space="0" w:color="auto"/>
            </w:tcBorders>
            <w:shd w:val="clear" w:color="auto" w:fill="FFFFFF" w:themeFill="background1"/>
          </w:tcPr>
          <w:p w14:paraId="689D6EC3" w14:textId="351D3A0A" w:rsidR="002C3372" w:rsidRPr="00E244A2" w:rsidRDefault="002C3372" w:rsidP="002C3372">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sz w:val="20"/>
                <w:lang w:val="en-AU"/>
              </w:rPr>
            </w:pPr>
            <w:r w:rsidRPr="00E244A2">
              <w:rPr>
                <w:sz w:val="20"/>
              </w:rPr>
              <w:t xml:space="preserve">FSANZ has reconsidered this issue and decided to </w:t>
            </w:r>
            <w:r w:rsidRPr="00E244A2">
              <w:rPr>
                <w:sz w:val="20"/>
                <w:lang w:val="en-AU"/>
              </w:rPr>
              <w:t xml:space="preserve">set the maximum fructose amount relative to the amount of total carbohydrate (i.e. no more than 50%). This amendment will ensure consistency between the permitted total carbohydrate and fructose amounts, and reflects the scientific evidence regarding both carbohydrate utilisation during sustained physical activity and the associated adverse gastrointestinal effects of high fructose intakes during physical activity. </w:t>
            </w:r>
            <w:r w:rsidRPr="00E244A2">
              <w:rPr>
                <w:sz w:val="20"/>
              </w:rPr>
              <w:t xml:space="preserve">FSANZ notes this change will also facilitate </w:t>
            </w:r>
            <w:r w:rsidRPr="00E244A2">
              <w:rPr>
                <w:sz w:val="20"/>
                <w:lang w:val="en-AU"/>
              </w:rPr>
              <w:t>innovation within the lower carbohydrate electrolyte drinks category</w:t>
            </w:r>
          </w:p>
          <w:p w14:paraId="7E0BAE95" w14:textId="64A35620" w:rsidR="00062001" w:rsidRDefault="002C3372" w:rsidP="002C3372">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sz w:val="20"/>
              </w:rPr>
            </w:pPr>
            <w:r w:rsidRPr="00E244A2">
              <w:rPr>
                <w:sz w:val="20"/>
              </w:rPr>
              <w:t>For fur</w:t>
            </w:r>
            <w:r w:rsidR="004A53D3">
              <w:rPr>
                <w:sz w:val="20"/>
              </w:rPr>
              <w:t>ther information see Section 2.4</w:t>
            </w:r>
            <w:r w:rsidRPr="00E244A2">
              <w:rPr>
                <w:sz w:val="20"/>
              </w:rPr>
              <w:t>.3.2 of this Report.</w:t>
            </w:r>
          </w:p>
          <w:p w14:paraId="7E243948" w14:textId="1D8B24B3" w:rsidR="009E6468" w:rsidRPr="00E244A2" w:rsidRDefault="009E6468" w:rsidP="002C3372">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sz w:val="20"/>
              </w:rPr>
            </w:pPr>
          </w:p>
        </w:tc>
      </w:tr>
      <w:tr w:rsidR="002F7A42" w14:paraId="47F9B468" w14:textId="77777777" w:rsidTr="00D927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5" w:type="pct"/>
            <w:tcBorders>
              <w:top w:val="single" w:sz="4" w:space="0" w:color="auto"/>
              <w:left w:val="single" w:sz="4" w:space="0" w:color="auto"/>
              <w:bottom w:val="single" w:sz="4" w:space="0" w:color="auto"/>
              <w:right w:val="single" w:sz="4" w:space="0" w:color="auto"/>
            </w:tcBorders>
            <w:shd w:val="clear" w:color="auto" w:fill="auto"/>
          </w:tcPr>
          <w:p w14:paraId="307FA8F1" w14:textId="77777777" w:rsidR="002A2DB5" w:rsidRPr="00E244A2" w:rsidRDefault="002A2DB5" w:rsidP="002B7876">
            <w:pPr>
              <w:pStyle w:val="FSCtblMain"/>
              <w:tabs>
                <w:tab w:val="clear" w:pos="3969"/>
                <w:tab w:val="right" w:pos="1944"/>
              </w:tabs>
              <w:spacing w:before="29" w:after="29"/>
              <w:rPr>
                <w:i/>
                <w:sz w:val="20"/>
              </w:rPr>
            </w:pPr>
            <w:r w:rsidRPr="00E244A2">
              <w:rPr>
                <w:i/>
                <w:sz w:val="20"/>
              </w:rPr>
              <w:t xml:space="preserve">Addition of other substances </w:t>
            </w:r>
          </w:p>
          <w:p w14:paraId="52B751FB" w14:textId="7EF52295" w:rsidR="002F7A42" w:rsidRPr="00E244A2" w:rsidRDefault="002A2DB5" w:rsidP="002B7876">
            <w:pPr>
              <w:pStyle w:val="FSCtblMain"/>
              <w:tabs>
                <w:tab w:val="clear" w:pos="3969"/>
                <w:tab w:val="right" w:pos="1944"/>
              </w:tabs>
              <w:spacing w:before="29" w:after="29"/>
              <w:rPr>
                <w:i/>
                <w:sz w:val="20"/>
              </w:rPr>
            </w:pPr>
            <w:r w:rsidRPr="00E244A2">
              <w:rPr>
                <w:b w:val="0"/>
                <w:sz w:val="20"/>
              </w:rPr>
              <w:t>Question</w:t>
            </w:r>
            <w:r w:rsidRPr="00E244A2">
              <w:rPr>
                <w:b w:val="0"/>
                <w:sz w:val="20"/>
                <w:lang w:val="en-AU"/>
              </w:rPr>
              <w:t xml:space="preserve"> whether the draft variation would permit the addition of other nutritive substances or ingredients (including caffeine), and what impact this may have on both efficacy and/or product differentiation for enforcement purposes.</w:t>
            </w:r>
          </w:p>
        </w:tc>
        <w:tc>
          <w:tcPr>
            <w:tcW w:w="1539" w:type="pct"/>
            <w:tcBorders>
              <w:top w:val="single" w:sz="4" w:space="0" w:color="auto"/>
              <w:left w:val="single" w:sz="4" w:space="0" w:color="auto"/>
              <w:bottom w:val="single" w:sz="4" w:space="0" w:color="auto"/>
              <w:right w:val="single" w:sz="4" w:space="0" w:color="auto"/>
            </w:tcBorders>
            <w:shd w:val="clear" w:color="auto" w:fill="auto"/>
          </w:tcPr>
          <w:p w14:paraId="3501B9CF" w14:textId="1CE122D4" w:rsidR="002A2DB5" w:rsidRPr="00E244A2" w:rsidRDefault="002A2DB5"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p>
          <w:p w14:paraId="66136BCE" w14:textId="30AE45CE" w:rsidR="002A2DB5" w:rsidRPr="00E244A2" w:rsidRDefault="002A2DB5"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lang w:val="en-AU"/>
              </w:rPr>
            </w:pPr>
            <w:r w:rsidRPr="00E244A2">
              <w:rPr>
                <w:sz w:val="20"/>
              </w:rPr>
              <w:t>New Zealand Food Safety</w:t>
            </w:r>
          </w:p>
          <w:p w14:paraId="5DD0F3E8" w14:textId="61754940" w:rsidR="002F7A42" w:rsidRPr="00E244A2" w:rsidRDefault="002A2DB5"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sz w:val="20"/>
              </w:rPr>
              <w:t>Victorian Department of Health</w:t>
            </w:r>
          </w:p>
        </w:tc>
        <w:tc>
          <w:tcPr>
            <w:tcW w:w="1796" w:type="pct"/>
            <w:tcBorders>
              <w:top w:val="single" w:sz="4" w:space="0" w:color="auto"/>
              <w:left w:val="single" w:sz="4" w:space="0" w:color="auto"/>
              <w:bottom w:val="single" w:sz="4" w:space="0" w:color="auto"/>
              <w:right w:val="single" w:sz="4" w:space="0" w:color="auto"/>
            </w:tcBorders>
            <w:shd w:val="clear" w:color="auto" w:fill="auto"/>
          </w:tcPr>
          <w:p w14:paraId="32CD69CB" w14:textId="5CDDCFDC" w:rsidR="002A2DB5" w:rsidRPr="00E244A2" w:rsidRDefault="00C206F9"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lang w:val="en-AU"/>
              </w:rPr>
            </w:pPr>
            <w:r w:rsidRPr="00E244A2">
              <w:rPr>
                <w:sz w:val="20"/>
                <w:lang w:val="en-AU"/>
              </w:rPr>
              <w:t xml:space="preserve">The draft variation does not of itself permit the use of other nutritive substances or ingredients in electrolyte drinks. </w:t>
            </w:r>
            <w:r w:rsidR="002F4411" w:rsidRPr="00E244A2">
              <w:rPr>
                <w:sz w:val="20"/>
                <w:lang w:val="en-AU"/>
              </w:rPr>
              <w:t>E</w:t>
            </w:r>
            <w:r w:rsidR="002A2DB5" w:rsidRPr="00E244A2">
              <w:rPr>
                <w:sz w:val="20"/>
                <w:lang w:val="en-AU"/>
              </w:rPr>
              <w:t>xisting provisions within Section 1.1.1</w:t>
            </w:r>
            <w:r w:rsidR="008F17CC" w:rsidRPr="00E244A2">
              <w:rPr>
                <w:sz w:val="20"/>
              </w:rPr>
              <w:t>—</w:t>
            </w:r>
            <w:r w:rsidR="002A2DB5" w:rsidRPr="00E244A2">
              <w:rPr>
                <w:sz w:val="20"/>
                <w:lang w:val="en-AU"/>
              </w:rPr>
              <w:t>10 of the Code prohibiting the use of any substance as a nutritive substance, f</w:t>
            </w:r>
            <w:r w:rsidR="002F4411" w:rsidRPr="00E244A2">
              <w:rPr>
                <w:sz w:val="20"/>
                <w:lang w:val="en-AU"/>
              </w:rPr>
              <w:t xml:space="preserve">ood additive or processing aid </w:t>
            </w:r>
            <w:r w:rsidR="002A2DB5" w:rsidRPr="00E244A2">
              <w:rPr>
                <w:sz w:val="20"/>
                <w:lang w:val="en-AU"/>
              </w:rPr>
              <w:t xml:space="preserve">will </w:t>
            </w:r>
            <w:r w:rsidRPr="00E244A2">
              <w:rPr>
                <w:sz w:val="20"/>
                <w:lang w:val="en-AU"/>
              </w:rPr>
              <w:t xml:space="preserve">continue to regulate </w:t>
            </w:r>
            <w:r w:rsidR="00D05DF0" w:rsidRPr="00E244A2">
              <w:rPr>
                <w:sz w:val="20"/>
                <w:lang w:val="en-AU"/>
              </w:rPr>
              <w:t>their use in electrolyte drinks.</w:t>
            </w:r>
          </w:p>
          <w:p w14:paraId="2665879A" w14:textId="09F4E814" w:rsidR="002A2DB5" w:rsidRPr="00E244A2" w:rsidRDefault="002A2DB5"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r w:rsidRPr="00E244A2">
              <w:rPr>
                <w:sz w:val="20"/>
                <w:lang w:val="en-AU"/>
              </w:rPr>
              <w:t xml:space="preserve">The regulation of caffeine by the Code is being considered by FSANZ in Proposal </w:t>
            </w:r>
            <w:r w:rsidR="00722027" w:rsidRPr="00E244A2">
              <w:rPr>
                <w:sz w:val="20"/>
                <w:lang w:val="en-AU"/>
              </w:rPr>
              <w:t>P</w:t>
            </w:r>
            <w:r w:rsidRPr="00E244A2">
              <w:rPr>
                <w:sz w:val="20"/>
                <w:lang w:val="en-AU"/>
              </w:rPr>
              <w:t>1056.</w:t>
            </w:r>
          </w:p>
          <w:p w14:paraId="6F5BFC1A" w14:textId="02CB53EA" w:rsidR="002A2DB5" w:rsidRDefault="002A2DB5"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r w:rsidRPr="00E244A2">
              <w:rPr>
                <w:sz w:val="20"/>
              </w:rPr>
              <w:t xml:space="preserve">This clarification is further discussed in </w:t>
            </w:r>
            <w:r w:rsidR="004A53D3">
              <w:rPr>
                <w:sz w:val="20"/>
              </w:rPr>
              <w:t>Section 2.4</w:t>
            </w:r>
            <w:r w:rsidR="002F4411" w:rsidRPr="00E244A2">
              <w:rPr>
                <w:sz w:val="20"/>
              </w:rPr>
              <w:t>.3.4</w:t>
            </w:r>
            <w:r w:rsidR="00B21298" w:rsidRPr="00E244A2">
              <w:rPr>
                <w:sz w:val="20"/>
              </w:rPr>
              <w:t xml:space="preserve"> of this Report</w:t>
            </w:r>
            <w:r w:rsidR="002F4411" w:rsidRPr="00E244A2">
              <w:rPr>
                <w:sz w:val="20"/>
              </w:rPr>
              <w:t xml:space="preserve">. </w:t>
            </w:r>
          </w:p>
          <w:p w14:paraId="3429F06F" w14:textId="3AFBF7BE" w:rsidR="009E6468" w:rsidRPr="00E244A2" w:rsidRDefault="009E6468"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p>
        </w:tc>
      </w:tr>
      <w:tr w:rsidR="00CD4A31" w:rsidRPr="00B14F2A" w14:paraId="3E35351A" w14:textId="77777777" w:rsidTr="002F338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bottom w:val="single" w:sz="4" w:space="0" w:color="auto"/>
            </w:tcBorders>
            <w:shd w:val="clear" w:color="auto" w:fill="EAF1DD" w:themeFill="accent3" w:themeFillTint="33"/>
          </w:tcPr>
          <w:p w14:paraId="2795F06C" w14:textId="365CBDA2" w:rsidR="00CD4A31" w:rsidRPr="00B14F2A" w:rsidRDefault="00CD4A31" w:rsidP="002B7876">
            <w:pPr>
              <w:pStyle w:val="FSCtblMain"/>
              <w:tabs>
                <w:tab w:val="clear" w:pos="3969"/>
                <w:tab w:val="right" w:pos="1944"/>
              </w:tabs>
              <w:spacing w:before="29" w:after="29"/>
              <w:rPr>
                <w:b w:val="0"/>
                <w:color w:val="000000"/>
                <w:sz w:val="20"/>
                <w:szCs w:val="18"/>
              </w:rPr>
            </w:pPr>
            <w:r w:rsidRPr="00B14F2A">
              <w:rPr>
                <w:color w:val="000000"/>
                <w:sz w:val="20"/>
                <w:szCs w:val="18"/>
              </w:rPr>
              <w:t>Labelling</w:t>
            </w:r>
          </w:p>
        </w:tc>
      </w:tr>
      <w:tr w:rsidR="002C3372" w14:paraId="5AB41F9E" w14:textId="77777777" w:rsidTr="00D927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5" w:type="pct"/>
            <w:tcBorders>
              <w:top w:val="single" w:sz="4" w:space="0" w:color="auto"/>
              <w:left w:val="single" w:sz="4" w:space="0" w:color="auto"/>
              <w:bottom w:val="single" w:sz="4" w:space="0" w:color="auto"/>
              <w:right w:val="single" w:sz="4" w:space="0" w:color="auto"/>
            </w:tcBorders>
            <w:shd w:val="clear" w:color="auto" w:fill="auto"/>
          </w:tcPr>
          <w:p w14:paraId="5659A799" w14:textId="77777777" w:rsidR="002C3372" w:rsidRPr="00E244A2" w:rsidRDefault="002C3372" w:rsidP="002C3372">
            <w:pPr>
              <w:pStyle w:val="FSCtblMain"/>
              <w:tabs>
                <w:tab w:val="clear" w:pos="3969"/>
                <w:tab w:val="right" w:pos="1944"/>
              </w:tabs>
              <w:spacing w:before="29" w:after="29"/>
              <w:rPr>
                <w:i/>
                <w:color w:val="000000"/>
                <w:sz w:val="20"/>
              </w:rPr>
            </w:pPr>
            <w:r w:rsidRPr="00E244A2">
              <w:rPr>
                <w:i/>
                <w:color w:val="000000"/>
                <w:sz w:val="20"/>
              </w:rPr>
              <w:lastRenderedPageBreak/>
              <w:t>Prescribed name</w:t>
            </w:r>
          </w:p>
          <w:p w14:paraId="487F6994" w14:textId="77777777" w:rsidR="002C3372" w:rsidRPr="00E244A2" w:rsidRDefault="002C3372" w:rsidP="002C3372">
            <w:pPr>
              <w:pStyle w:val="FSCtblMain"/>
              <w:tabs>
                <w:tab w:val="clear" w:pos="3969"/>
                <w:tab w:val="right" w:pos="1944"/>
              </w:tabs>
              <w:spacing w:before="29" w:after="29"/>
              <w:rPr>
                <w:b w:val="0"/>
                <w:sz w:val="20"/>
              </w:rPr>
            </w:pPr>
            <w:r w:rsidRPr="00E244A2">
              <w:rPr>
                <w:b w:val="0"/>
                <w:color w:val="000000"/>
                <w:sz w:val="20"/>
              </w:rPr>
              <w:t>Support a prescribed name but recommend it should be changed to ‘sports drinks’ to provide further clarity by reducing ambiguity, contextualising product use, promoting consistency with other government publications and making education easier.</w:t>
            </w:r>
            <w:r w:rsidRPr="00E244A2">
              <w:rPr>
                <w:b w:val="0"/>
                <w:sz w:val="20"/>
              </w:rPr>
              <w:t xml:space="preserve"> </w:t>
            </w:r>
          </w:p>
          <w:p w14:paraId="1438BEA4" w14:textId="77777777" w:rsidR="008C3F12" w:rsidRPr="00E244A2" w:rsidRDefault="008C3F12" w:rsidP="008C3F12">
            <w:pPr>
              <w:pStyle w:val="FSCtblMain"/>
              <w:tabs>
                <w:tab w:val="clear" w:pos="3969"/>
                <w:tab w:val="right" w:pos="1944"/>
              </w:tabs>
              <w:spacing w:before="29" w:after="29"/>
              <w:rPr>
                <w:b w:val="0"/>
                <w:color w:val="000000"/>
                <w:sz w:val="20"/>
              </w:rPr>
            </w:pPr>
          </w:p>
          <w:p w14:paraId="341573F1" w14:textId="77777777" w:rsidR="008C3F12" w:rsidRPr="00E244A2" w:rsidRDefault="008C3F12" w:rsidP="008C3F12">
            <w:pPr>
              <w:pStyle w:val="FSCtblMain"/>
              <w:tabs>
                <w:tab w:val="clear" w:pos="3969"/>
                <w:tab w:val="right" w:pos="1944"/>
              </w:tabs>
              <w:spacing w:before="29" w:after="29"/>
              <w:rPr>
                <w:b w:val="0"/>
                <w:color w:val="000000"/>
                <w:sz w:val="20"/>
              </w:rPr>
            </w:pPr>
          </w:p>
          <w:p w14:paraId="75D13FA5" w14:textId="77777777" w:rsidR="008C3F12" w:rsidRDefault="008C3F12" w:rsidP="008C3F12">
            <w:pPr>
              <w:pStyle w:val="FSCtblMain"/>
              <w:tabs>
                <w:tab w:val="clear" w:pos="3969"/>
                <w:tab w:val="right" w:pos="1944"/>
              </w:tabs>
              <w:spacing w:before="29" w:after="29"/>
              <w:rPr>
                <w:b w:val="0"/>
                <w:color w:val="000000"/>
                <w:sz w:val="20"/>
              </w:rPr>
            </w:pPr>
          </w:p>
          <w:p w14:paraId="4229AEFC" w14:textId="159CAAA9" w:rsidR="00812FD3" w:rsidRDefault="00812FD3" w:rsidP="008C3F12">
            <w:pPr>
              <w:pStyle w:val="FSCtblMain"/>
              <w:tabs>
                <w:tab w:val="clear" w:pos="3969"/>
                <w:tab w:val="right" w:pos="1944"/>
              </w:tabs>
              <w:spacing w:before="29" w:after="29"/>
              <w:rPr>
                <w:b w:val="0"/>
                <w:color w:val="000000"/>
                <w:sz w:val="20"/>
              </w:rPr>
            </w:pPr>
          </w:p>
          <w:p w14:paraId="364BCFC4" w14:textId="77777777" w:rsidR="00812FD3" w:rsidRPr="00E244A2" w:rsidRDefault="00812FD3" w:rsidP="008C3F12">
            <w:pPr>
              <w:pStyle w:val="FSCtblMain"/>
              <w:tabs>
                <w:tab w:val="clear" w:pos="3969"/>
                <w:tab w:val="right" w:pos="1944"/>
              </w:tabs>
              <w:spacing w:before="29" w:after="29"/>
              <w:rPr>
                <w:b w:val="0"/>
                <w:color w:val="000000"/>
                <w:sz w:val="20"/>
              </w:rPr>
            </w:pPr>
          </w:p>
          <w:p w14:paraId="3928144F" w14:textId="77777777" w:rsidR="008C3F12" w:rsidRPr="00E244A2" w:rsidRDefault="008C3F12" w:rsidP="008C3F12">
            <w:pPr>
              <w:pStyle w:val="FSCtblMain"/>
              <w:tabs>
                <w:tab w:val="clear" w:pos="3969"/>
                <w:tab w:val="right" w:pos="1944"/>
              </w:tabs>
              <w:spacing w:before="29" w:after="29"/>
              <w:rPr>
                <w:b w:val="0"/>
                <w:color w:val="000000"/>
                <w:sz w:val="20"/>
              </w:rPr>
            </w:pPr>
          </w:p>
          <w:p w14:paraId="551B7E2A" w14:textId="4670B387" w:rsidR="008C3F12" w:rsidRPr="00E244A2" w:rsidRDefault="008C3F12" w:rsidP="008C3F12">
            <w:pPr>
              <w:pStyle w:val="FSCtblMain"/>
              <w:tabs>
                <w:tab w:val="clear" w:pos="3969"/>
                <w:tab w:val="right" w:pos="1944"/>
              </w:tabs>
              <w:spacing w:before="29" w:after="29"/>
              <w:rPr>
                <w:b w:val="0"/>
                <w:sz w:val="20"/>
              </w:rPr>
            </w:pPr>
            <w:r w:rsidRPr="00E244A2">
              <w:rPr>
                <w:b w:val="0"/>
                <w:color w:val="000000"/>
                <w:sz w:val="20"/>
              </w:rPr>
              <w:t>Note as a new mandatory labelling requirement this requirement should trigger a WTO notification.</w:t>
            </w:r>
          </w:p>
          <w:p w14:paraId="7F5AFFC8" w14:textId="77777777" w:rsidR="002C3372" w:rsidRPr="00E244A2" w:rsidRDefault="002C3372" w:rsidP="002B7876">
            <w:pPr>
              <w:pStyle w:val="FSCtblMain"/>
              <w:tabs>
                <w:tab w:val="clear" w:pos="3969"/>
                <w:tab w:val="right" w:pos="1944"/>
              </w:tabs>
              <w:spacing w:before="29" w:after="29"/>
              <w:rPr>
                <w:i/>
                <w:color w:val="000000"/>
                <w:sz w:val="20"/>
              </w:rPr>
            </w:pPr>
          </w:p>
        </w:tc>
        <w:tc>
          <w:tcPr>
            <w:tcW w:w="1539" w:type="pct"/>
            <w:tcBorders>
              <w:top w:val="single" w:sz="4" w:space="0" w:color="auto"/>
              <w:left w:val="single" w:sz="4" w:space="0" w:color="auto"/>
              <w:bottom w:val="single" w:sz="4" w:space="0" w:color="auto"/>
              <w:right w:val="single" w:sz="4" w:space="0" w:color="auto"/>
            </w:tcBorders>
            <w:shd w:val="clear" w:color="auto" w:fill="auto"/>
          </w:tcPr>
          <w:p w14:paraId="35CB3F88" w14:textId="77777777" w:rsidR="002C3372" w:rsidRPr="00E244A2" w:rsidRDefault="002C3372" w:rsidP="002C3372">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color w:val="000000"/>
                <w:sz w:val="20"/>
              </w:rPr>
              <w:t xml:space="preserve">Dietitians Australia </w:t>
            </w:r>
          </w:p>
          <w:p w14:paraId="515113AE" w14:textId="77777777" w:rsidR="002C3372" w:rsidRPr="00E244A2" w:rsidRDefault="002C3372" w:rsidP="002C3372">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color w:val="000000"/>
                <w:sz w:val="20"/>
              </w:rPr>
              <w:t>Sports Dietitians Association</w:t>
            </w:r>
          </w:p>
          <w:p w14:paraId="20B9AE62" w14:textId="77777777" w:rsidR="008C3F12" w:rsidRPr="00E244A2" w:rsidRDefault="008C3F12"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p>
          <w:p w14:paraId="38AFC7B8" w14:textId="77777777" w:rsidR="008C3F12" w:rsidRPr="00E244A2" w:rsidRDefault="008C3F12"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p>
          <w:p w14:paraId="7EB071F1" w14:textId="77777777" w:rsidR="008C3F12" w:rsidRPr="00E244A2" w:rsidRDefault="008C3F12"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p>
          <w:p w14:paraId="65530DE6" w14:textId="77777777" w:rsidR="008C3F12" w:rsidRPr="00E244A2" w:rsidRDefault="008C3F12"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p>
          <w:p w14:paraId="08166FBD" w14:textId="77777777" w:rsidR="008C3F12" w:rsidRPr="00E244A2" w:rsidRDefault="008C3F12"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p>
          <w:p w14:paraId="004BA18D" w14:textId="77777777" w:rsidR="008C3F12" w:rsidRPr="00E244A2" w:rsidRDefault="008C3F12"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p>
          <w:p w14:paraId="7D3C9DB8" w14:textId="77777777" w:rsidR="008C3F12" w:rsidRPr="00E244A2" w:rsidRDefault="008C3F12"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p>
          <w:p w14:paraId="1B1837BE" w14:textId="77777777" w:rsidR="008C3F12" w:rsidRDefault="008C3F12"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p>
          <w:p w14:paraId="26CD8898" w14:textId="05850357" w:rsidR="00812FD3" w:rsidRDefault="00812FD3"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p>
          <w:p w14:paraId="5ADDDA00" w14:textId="77777777" w:rsidR="00812FD3" w:rsidRPr="00E244A2" w:rsidRDefault="00812FD3"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p>
          <w:p w14:paraId="43866011" w14:textId="77777777" w:rsidR="008C3F12" w:rsidRPr="009E6468" w:rsidRDefault="008C3F12"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10"/>
              </w:rPr>
            </w:pPr>
          </w:p>
          <w:p w14:paraId="611392F1" w14:textId="5DC757F6" w:rsidR="002C3372" w:rsidRPr="00E244A2" w:rsidRDefault="008C3F12"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sz w:val="20"/>
              </w:rPr>
              <w:t>New</w:t>
            </w:r>
            <w:r w:rsidRPr="00E244A2">
              <w:rPr>
                <w:color w:val="000000"/>
                <w:sz w:val="20"/>
              </w:rPr>
              <w:t xml:space="preserve"> Zealand Food Safety</w:t>
            </w:r>
          </w:p>
        </w:tc>
        <w:tc>
          <w:tcPr>
            <w:tcW w:w="1796" w:type="pct"/>
            <w:tcBorders>
              <w:top w:val="single" w:sz="4" w:space="0" w:color="auto"/>
              <w:left w:val="single" w:sz="4" w:space="0" w:color="auto"/>
              <w:bottom w:val="single" w:sz="4" w:space="0" w:color="auto"/>
              <w:right w:val="single" w:sz="4" w:space="0" w:color="auto"/>
            </w:tcBorders>
            <w:shd w:val="clear" w:color="auto" w:fill="auto"/>
          </w:tcPr>
          <w:p w14:paraId="5AB29759" w14:textId="742BCE99" w:rsidR="002C3372" w:rsidRPr="00E244A2" w:rsidRDefault="002C3372" w:rsidP="002C3372">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r w:rsidRPr="00E244A2">
              <w:rPr>
                <w:color w:val="000000"/>
                <w:sz w:val="20"/>
              </w:rPr>
              <w:t xml:space="preserve">FSANZ considers the term ‘electrolyte drink’ captures the true nature of beverages that are targeted for a specific purpose and have a prescribed composition. FSANZ notes ‘electrolyte drink’ is often used by manufacturers on labels, who are required to include a name or description of the food sufficient to indicate the true nature of the food. The term ‘sports drinks’ commonly refers to a broader category of beverages </w:t>
            </w:r>
            <w:r w:rsidRPr="00E244A2">
              <w:rPr>
                <w:sz w:val="20"/>
              </w:rPr>
              <w:t>which may share some similarities with electrolyte drinks, but do not fully reflect the specific intended purpose of electrolyte drinks. i.e. for the rapid hydration/rehydration during or after 60 minutes or more of sustained strenuous physical activity.</w:t>
            </w:r>
          </w:p>
          <w:p w14:paraId="5CD26D20" w14:textId="77777777" w:rsidR="008C3F12" w:rsidRPr="00E244A2" w:rsidRDefault="008C3F12" w:rsidP="002C3372">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p>
          <w:p w14:paraId="46F907FC" w14:textId="2F3C6721" w:rsidR="002C3372" w:rsidRPr="00E244A2" w:rsidRDefault="008C3F12"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sz w:val="20"/>
              </w:rPr>
              <w:t>A WTO notification was not deemed necessary given there are currently no international standards pertain</w:t>
            </w:r>
            <w:r>
              <w:rPr>
                <w:sz w:val="20"/>
              </w:rPr>
              <w:t xml:space="preserve">ing to electrolyte drinks (see </w:t>
            </w:r>
            <w:r w:rsidR="00812FD3">
              <w:rPr>
                <w:sz w:val="20"/>
              </w:rPr>
              <w:t>S</w:t>
            </w:r>
            <w:r w:rsidRPr="00E244A2">
              <w:rPr>
                <w:sz w:val="20"/>
              </w:rPr>
              <w:t>ection 1.4 above). Mandating a prescribed name is unlikely to create any unnecessary obstacles to and/or have a significant effect on international trade particularly given the term ‘electrolyte drink’ is already widely used voluntarily by international companies.</w:t>
            </w:r>
          </w:p>
        </w:tc>
      </w:tr>
      <w:tr w:rsidR="00CD4A31" w14:paraId="0CC89160" w14:textId="77777777" w:rsidTr="00E244A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5" w:type="pct"/>
            <w:tcBorders>
              <w:top w:val="single" w:sz="4" w:space="0" w:color="auto"/>
              <w:bottom w:val="single" w:sz="4" w:space="0" w:color="auto"/>
              <w:right w:val="single" w:sz="4" w:space="0" w:color="auto"/>
            </w:tcBorders>
            <w:shd w:val="clear" w:color="auto" w:fill="auto"/>
          </w:tcPr>
          <w:p w14:paraId="74A10FAF" w14:textId="20619F32" w:rsidR="00F357A0" w:rsidRPr="00E244A2" w:rsidRDefault="00F357A0" w:rsidP="002B7876">
            <w:pPr>
              <w:pStyle w:val="FSCtblMain"/>
              <w:tabs>
                <w:tab w:val="clear" w:pos="3969"/>
                <w:tab w:val="right" w:pos="1944"/>
              </w:tabs>
              <w:spacing w:before="29" w:after="29"/>
              <w:rPr>
                <w:i/>
                <w:color w:val="000000"/>
                <w:sz w:val="20"/>
              </w:rPr>
            </w:pPr>
            <w:r w:rsidRPr="00E244A2">
              <w:rPr>
                <w:i/>
                <w:color w:val="000000"/>
                <w:sz w:val="20"/>
              </w:rPr>
              <w:lastRenderedPageBreak/>
              <w:t>Nutrition content claims</w:t>
            </w:r>
          </w:p>
          <w:p w14:paraId="00C2B8FE" w14:textId="7EA110FA" w:rsidR="00F357A0" w:rsidRPr="00E244A2" w:rsidRDefault="00F357A0" w:rsidP="002B7876">
            <w:pPr>
              <w:pStyle w:val="FSCtblMain"/>
              <w:tabs>
                <w:tab w:val="clear" w:pos="3969"/>
                <w:tab w:val="right" w:pos="1944"/>
              </w:tabs>
              <w:spacing w:before="29" w:after="29"/>
              <w:rPr>
                <w:rFonts w:eastAsia="Calibri"/>
                <w:b w:val="0"/>
                <w:sz w:val="20"/>
              </w:rPr>
            </w:pPr>
            <w:r w:rsidRPr="00E244A2">
              <w:rPr>
                <w:rFonts w:eastAsia="Calibri"/>
                <w:b w:val="0"/>
                <w:sz w:val="20"/>
              </w:rPr>
              <w:t xml:space="preserve">Recommend no restrictions on </w:t>
            </w:r>
            <w:r w:rsidR="001C7B00" w:rsidRPr="00E244A2">
              <w:rPr>
                <w:rFonts w:eastAsia="Calibri"/>
                <w:b w:val="0"/>
                <w:sz w:val="20"/>
              </w:rPr>
              <w:t>nutrition content claims</w:t>
            </w:r>
            <w:r w:rsidR="00874A7A">
              <w:rPr>
                <w:rFonts w:eastAsia="Calibri"/>
                <w:b w:val="0"/>
                <w:sz w:val="20"/>
              </w:rPr>
              <w:t>.</w:t>
            </w:r>
          </w:p>
          <w:p w14:paraId="493F9109" w14:textId="7B0C2C3B" w:rsidR="00F357A0" w:rsidRPr="00E244A2" w:rsidRDefault="00F357A0" w:rsidP="002B7876">
            <w:pPr>
              <w:pStyle w:val="FSCtblMain"/>
              <w:tabs>
                <w:tab w:val="clear" w:pos="3969"/>
                <w:tab w:val="right" w:pos="1944"/>
              </w:tabs>
              <w:spacing w:before="29" w:after="29"/>
              <w:rPr>
                <w:rFonts w:eastAsia="Calibri"/>
                <w:b w:val="0"/>
                <w:sz w:val="20"/>
              </w:rPr>
            </w:pPr>
            <w:r w:rsidRPr="00E244A2">
              <w:rPr>
                <w:rFonts w:eastAsia="Calibri"/>
                <w:b w:val="0"/>
                <w:sz w:val="20"/>
              </w:rPr>
              <w:t xml:space="preserve">Seek permission to make other </w:t>
            </w:r>
            <w:r w:rsidR="001C7B00" w:rsidRPr="00E244A2">
              <w:rPr>
                <w:rFonts w:eastAsia="Calibri"/>
                <w:b w:val="0"/>
                <w:sz w:val="20"/>
              </w:rPr>
              <w:t>nutrition content claims</w:t>
            </w:r>
            <w:r w:rsidRPr="00E244A2">
              <w:rPr>
                <w:rFonts w:eastAsia="Calibri"/>
                <w:b w:val="0"/>
                <w:sz w:val="20"/>
              </w:rPr>
              <w:t>, if requirements are met for those claims. Standard 1.2.7 sets clear parameters around claims and if these are met, claims should be able to be made.</w:t>
            </w:r>
          </w:p>
          <w:p w14:paraId="57B8611B" w14:textId="35FB457E" w:rsidR="0039697F" w:rsidRPr="00E244A2" w:rsidRDefault="00F357A0" w:rsidP="002B7876">
            <w:pPr>
              <w:pStyle w:val="FSCtblMain"/>
              <w:tabs>
                <w:tab w:val="clear" w:pos="3969"/>
                <w:tab w:val="right" w:pos="1944"/>
              </w:tabs>
              <w:spacing w:before="29" w:after="29"/>
              <w:rPr>
                <w:rFonts w:eastAsia="Calibri"/>
                <w:b w:val="0"/>
                <w:sz w:val="20"/>
              </w:rPr>
            </w:pPr>
            <w:r w:rsidRPr="00E244A2">
              <w:rPr>
                <w:rFonts w:eastAsia="Calibri"/>
                <w:b w:val="0"/>
                <w:sz w:val="20"/>
              </w:rPr>
              <w:t xml:space="preserve">No other product category has such stringent restrictions and it will hamper innovation if other </w:t>
            </w:r>
            <w:r w:rsidR="001C7B00" w:rsidRPr="00E244A2">
              <w:rPr>
                <w:rFonts w:eastAsia="Calibri"/>
                <w:b w:val="0"/>
                <w:sz w:val="20"/>
              </w:rPr>
              <w:t xml:space="preserve">nutrition content claims </w:t>
            </w:r>
            <w:r w:rsidRPr="00E244A2">
              <w:rPr>
                <w:rFonts w:eastAsia="Calibri"/>
                <w:b w:val="0"/>
                <w:sz w:val="20"/>
              </w:rPr>
              <w:t xml:space="preserve">are not permitted.  </w:t>
            </w:r>
          </w:p>
          <w:p w14:paraId="38E79475" w14:textId="10D8A7C4" w:rsidR="00E023D0" w:rsidRPr="00E244A2" w:rsidRDefault="00E023D0" w:rsidP="002B7876">
            <w:pPr>
              <w:pStyle w:val="FSCtblMain"/>
              <w:tabs>
                <w:tab w:val="clear" w:pos="3969"/>
                <w:tab w:val="right" w:pos="1944"/>
              </w:tabs>
              <w:spacing w:before="29" w:after="29"/>
              <w:rPr>
                <w:rFonts w:eastAsia="Calibri"/>
                <w:b w:val="0"/>
                <w:sz w:val="20"/>
              </w:rPr>
            </w:pPr>
          </w:p>
          <w:p w14:paraId="62A8D188" w14:textId="1F1114BA" w:rsidR="00E61593" w:rsidRPr="00E244A2" w:rsidRDefault="001C7B00" w:rsidP="002B7876">
            <w:pPr>
              <w:pStyle w:val="FSCtblMain"/>
              <w:tabs>
                <w:tab w:val="clear" w:pos="3969"/>
                <w:tab w:val="right" w:pos="1944"/>
              </w:tabs>
              <w:spacing w:before="29" w:after="29"/>
              <w:rPr>
                <w:rFonts w:eastAsia="Calibri"/>
                <w:b w:val="0"/>
                <w:sz w:val="20"/>
              </w:rPr>
            </w:pPr>
            <w:r w:rsidRPr="00E244A2">
              <w:rPr>
                <w:rFonts w:eastAsia="Calibri"/>
                <w:b w:val="0"/>
                <w:color w:val="000000"/>
                <w:sz w:val="20"/>
              </w:rPr>
              <w:t>Nutrition content claims</w:t>
            </w:r>
            <w:r w:rsidRPr="00E244A2">
              <w:rPr>
                <w:rFonts w:eastAsia="Calibri"/>
                <w:b w:val="0"/>
                <w:sz w:val="20"/>
              </w:rPr>
              <w:t xml:space="preserve"> </w:t>
            </w:r>
            <w:r w:rsidR="00E61593" w:rsidRPr="00E244A2">
              <w:rPr>
                <w:rFonts w:eastAsia="Calibri"/>
                <w:b w:val="0"/>
                <w:sz w:val="20"/>
              </w:rPr>
              <w:t>about the types and amounts of specific carbohydrate used are relevant to the speed of hydration and therefore helpful for consumers</w:t>
            </w:r>
          </w:p>
          <w:p w14:paraId="2561BA5F" w14:textId="77777777" w:rsidR="00E61593" w:rsidRPr="00E244A2" w:rsidRDefault="00E61593" w:rsidP="002B7876">
            <w:pPr>
              <w:pStyle w:val="FSCtblMain"/>
              <w:tabs>
                <w:tab w:val="clear" w:pos="3969"/>
                <w:tab w:val="right" w:pos="1944"/>
              </w:tabs>
              <w:spacing w:before="29" w:after="29"/>
              <w:rPr>
                <w:b w:val="0"/>
                <w:sz w:val="20"/>
              </w:rPr>
            </w:pPr>
          </w:p>
          <w:p w14:paraId="4A47ECF6" w14:textId="77777777" w:rsidR="00CD4A31" w:rsidRDefault="00E023D0" w:rsidP="002B7876">
            <w:pPr>
              <w:pStyle w:val="FSCtblMain"/>
              <w:tabs>
                <w:tab w:val="clear" w:pos="3969"/>
                <w:tab w:val="right" w:pos="1944"/>
              </w:tabs>
              <w:spacing w:before="29" w:after="29"/>
              <w:rPr>
                <w:b w:val="0"/>
                <w:sz w:val="20"/>
              </w:rPr>
            </w:pPr>
            <w:r w:rsidRPr="00E244A2">
              <w:rPr>
                <w:b w:val="0"/>
                <w:sz w:val="20"/>
              </w:rPr>
              <w:t xml:space="preserve">Athletes needs may extend beyond carbohydrate and electrolytes. Denying consumers information to make an informed chose. </w:t>
            </w:r>
          </w:p>
          <w:p w14:paraId="4374A752" w14:textId="532B96E0" w:rsidR="009E6468" w:rsidRPr="00E244A2" w:rsidRDefault="009E6468" w:rsidP="002B7876">
            <w:pPr>
              <w:pStyle w:val="FSCtblMain"/>
              <w:tabs>
                <w:tab w:val="clear" w:pos="3969"/>
                <w:tab w:val="right" w:pos="1944"/>
              </w:tabs>
              <w:spacing w:before="29" w:after="29"/>
              <w:rPr>
                <w:rFonts w:eastAsia="Calibri"/>
                <w:b w:val="0"/>
                <w:sz w:val="20"/>
              </w:rPr>
            </w:pPr>
          </w:p>
        </w:tc>
        <w:tc>
          <w:tcPr>
            <w:tcW w:w="1539" w:type="pct"/>
            <w:tcBorders>
              <w:top w:val="single" w:sz="4" w:space="0" w:color="auto"/>
              <w:left w:val="single" w:sz="4" w:space="0" w:color="auto"/>
              <w:bottom w:val="single" w:sz="4" w:space="0" w:color="auto"/>
              <w:right w:val="single" w:sz="4" w:space="0" w:color="auto"/>
            </w:tcBorders>
            <w:shd w:val="clear" w:color="auto" w:fill="auto"/>
          </w:tcPr>
          <w:p w14:paraId="712EBD82" w14:textId="77777777" w:rsidR="00F357A0" w:rsidRPr="00E244A2" w:rsidRDefault="00F357A0"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Australian Beverages Council Limited</w:t>
            </w:r>
          </w:p>
          <w:p w14:paraId="292923C2" w14:textId="099F925E" w:rsidR="00F357A0" w:rsidRPr="00E244A2" w:rsidRDefault="00F357A0"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Australia Food &amp; Grocery Council</w:t>
            </w:r>
          </w:p>
          <w:p w14:paraId="2A4D82F3" w14:textId="77777777" w:rsidR="00F357A0" w:rsidRPr="00E244A2" w:rsidRDefault="00F357A0"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sz w:val="20"/>
              </w:rPr>
            </w:pPr>
            <w:r w:rsidRPr="00E244A2">
              <w:rPr>
                <w:color w:val="000000"/>
                <w:sz w:val="20"/>
              </w:rPr>
              <w:t>New Zealand Beverages Council</w:t>
            </w:r>
          </w:p>
          <w:p w14:paraId="7AA563F7" w14:textId="77777777" w:rsidR="00F357A0" w:rsidRPr="00E244A2" w:rsidRDefault="00F357A0"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 xml:space="preserve">New Zealand Food &amp; Grocery Council </w:t>
            </w:r>
          </w:p>
          <w:p w14:paraId="6D43C449" w14:textId="09A21435" w:rsidR="00CD4A31" w:rsidRPr="00E244A2" w:rsidRDefault="00CD4A31"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p>
        </w:tc>
        <w:tc>
          <w:tcPr>
            <w:tcW w:w="1796" w:type="pct"/>
            <w:tcBorders>
              <w:top w:val="single" w:sz="4" w:space="0" w:color="auto"/>
              <w:left w:val="single" w:sz="4" w:space="0" w:color="auto"/>
              <w:bottom w:val="single" w:sz="4" w:space="0" w:color="auto"/>
            </w:tcBorders>
            <w:shd w:val="clear" w:color="auto" w:fill="auto"/>
          </w:tcPr>
          <w:p w14:paraId="04ACAC09" w14:textId="2F74FAE9" w:rsidR="00F357A0" w:rsidRPr="00E244A2" w:rsidRDefault="00F357A0"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sz w:val="20"/>
              </w:rPr>
            </w:pPr>
            <w:r w:rsidRPr="00E244A2">
              <w:rPr>
                <w:color w:val="000000"/>
                <w:sz w:val="20"/>
              </w:rPr>
              <w:t>FSANZ</w:t>
            </w:r>
            <w:r w:rsidRPr="00E244A2">
              <w:rPr>
                <w:sz w:val="20"/>
              </w:rPr>
              <w:t xml:space="preserve"> re-affirm</w:t>
            </w:r>
            <w:r w:rsidR="00B87CCD" w:rsidRPr="00E244A2">
              <w:rPr>
                <w:sz w:val="20"/>
              </w:rPr>
              <w:t>ed</w:t>
            </w:r>
            <w:r w:rsidR="005C0FD2" w:rsidRPr="00E244A2">
              <w:rPr>
                <w:sz w:val="20"/>
              </w:rPr>
              <w:t xml:space="preserve"> </w:t>
            </w:r>
            <w:r w:rsidR="00724D40" w:rsidRPr="00E244A2">
              <w:rPr>
                <w:sz w:val="20"/>
              </w:rPr>
              <w:t xml:space="preserve">its </w:t>
            </w:r>
            <w:r w:rsidR="005C0FD2" w:rsidRPr="00E244A2">
              <w:rPr>
                <w:sz w:val="20"/>
              </w:rPr>
              <w:t xml:space="preserve">approach </w:t>
            </w:r>
            <w:r w:rsidRPr="00E244A2">
              <w:rPr>
                <w:sz w:val="20"/>
              </w:rPr>
              <w:t xml:space="preserve">to only allow nutrition content claims </w:t>
            </w:r>
            <w:r w:rsidR="003332EE" w:rsidRPr="00E244A2">
              <w:rPr>
                <w:sz w:val="20"/>
              </w:rPr>
              <w:t>relating to the prescribed composition</w:t>
            </w:r>
            <w:r w:rsidR="003411BF" w:rsidRPr="00E244A2">
              <w:rPr>
                <w:rFonts w:eastAsia="Calibri"/>
                <w:sz w:val="20"/>
              </w:rPr>
              <w:t xml:space="preserve"> </w:t>
            </w:r>
            <w:r w:rsidR="00617DA0" w:rsidRPr="00E244A2">
              <w:rPr>
                <w:rFonts w:eastAsia="Calibri"/>
                <w:sz w:val="20"/>
              </w:rPr>
              <w:t xml:space="preserve">(i.e. </w:t>
            </w:r>
            <w:r w:rsidR="00617DA0" w:rsidRPr="00E244A2">
              <w:rPr>
                <w:sz w:val="20"/>
              </w:rPr>
              <w:t>about carbohydrate, sugar or sugars, energy or electrolytes)</w:t>
            </w:r>
            <w:r w:rsidR="00617DA0" w:rsidRPr="00E244A2">
              <w:rPr>
                <w:rFonts w:eastAsia="Calibri"/>
                <w:sz w:val="20"/>
              </w:rPr>
              <w:t xml:space="preserve"> </w:t>
            </w:r>
            <w:r w:rsidR="003411BF" w:rsidRPr="00E244A2">
              <w:rPr>
                <w:rFonts w:eastAsia="Calibri"/>
                <w:sz w:val="20"/>
              </w:rPr>
              <w:t>to reduce the potential for claims to mislead consumers about the purpose of electrolyte drinks</w:t>
            </w:r>
            <w:r w:rsidR="00636907" w:rsidRPr="00E244A2">
              <w:rPr>
                <w:sz w:val="20"/>
              </w:rPr>
              <w:t xml:space="preserve">. </w:t>
            </w:r>
            <w:r w:rsidR="003411BF" w:rsidRPr="00E244A2">
              <w:rPr>
                <w:sz w:val="20"/>
              </w:rPr>
              <w:t>See</w:t>
            </w:r>
            <w:r w:rsidR="004A53D3">
              <w:rPr>
                <w:sz w:val="20"/>
              </w:rPr>
              <w:t xml:space="preserve"> Section 2.4</w:t>
            </w:r>
            <w:r w:rsidR="00941638" w:rsidRPr="00E244A2">
              <w:rPr>
                <w:sz w:val="20"/>
              </w:rPr>
              <w:t>.5.3 below.</w:t>
            </w:r>
          </w:p>
          <w:p w14:paraId="21050C83" w14:textId="6FD9CB38" w:rsidR="0006473E" w:rsidRPr="00E244A2" w:rsidRDefault="005C61FE"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sz w:val="20"/>
              </w:rPr>
            </w:pPr>
            <w:r w:rsidRPr="00E244A2">
              <w:rPr>
                <w:sz w:val="20"/>
              </w:rPr>
              <w:t xml:space="preserve">Mandatory </w:t>
            </w:r>
            <w:r w:rsidR="0006473E" w:rsidRPr="00E244A2">
              <w:rPr>
                <w:sz w:val="20"/>
              </w:rPr>
              <w:t>declaration of nutrition information (</w:t>
            </w:r>
            <w:r w:rsidR="003411BF" w:rsidRPr="00E244A2">
              <w:rPr>
                <w:sz w:val="20"/>
              </w:rPr>
              <w:t xml:space="preserve">see </w:t>
            </w:r>
            <w:r w:rsidR="004A53D3">
              <w:rPr>
                <w:sz w:val="20"/>
              </w:rPr>
              <w:t>Section 2.4</w:t>
            </w:r>
            <w:r w:rsidR="0006473E" w:rsidRPr="00E244A2">
              <w:rPr>
                <w:sz w:val="20"/>
              </w:rPr>
              <w:t>.5.2</w:t>
            </w:r>
            <w:r w:rsidR="00B10C37" w:rsidRPr="00E244A2">
              <w:rPr>
                <w:sz w:val="20"/>
              </w:rPr>
              <w:t xml:space="preserve"> of this Report</w:t>
            </w:r>
            <w:r w:rsidR="0006473E" w:rsidRPr="00E244A2">
              <w:rPr>
                <w:sz w:val="20"/>
              </w:rPr>
              <w:t xml:space="preserve">) provides for informed consumer choice. </w:t>
            </w:r>
          </w:p>
          <w:p w14:paraId="5BCE1A01" w14:textId="645D25FB" w:rsidR="00CD4A31" w:rsidRPr="00E244A2" w:rsidRDefault="00CD4A31"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p>
        </w:tc>
      </w:tr>
      <w:tr w:rsidR="00452761" w14:paraId="671E56B5" w14:textId="77777777" w:rsidTr="00E244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5" w:type="pct"/>
            <w:tcBorders>
              <w:bottom w:val="single" w:sz="4" w:space="0" w:color="auto"/>
              <w:right w:val="single" w:sz="4" w:space="0" w:color="auto"/>
            </w:tcBorders>
            <w:shd w:val="clear" w:color="auto" w:fill="auto"/>
          </w:tcPr>
          <w:p w14:paraId="1D262934" w14:textId="77777777" w:rsidR="00452761" w:rsidRPr="00E244A2" w:rsidRDefault="00452761" w:rsidP="002B7876">
            <w:pPr>
              <w:pStyle w:val="FSCtblMain"/>
              <w:tabs>
                <w:tab w:val="clear" w:pos="3969"/>
                <w:tab w:val="right" w:pos="1944"/>
              </w:tabs>
              <w:spacing w:before="29" w:after="29"/>
              <w:rPr>
                <w:i/>
                <w:sz w:val="20"/>
              </w:rPr>
            </w:pPr>
            <w:r w:rsidRPr="00E244A2">
              <w:rPr>
                <w:i/>
                <w:sz w:val="20"/>
              </w:rPr>
              <w:t>Nutrition content claims for prescribed electrolytes</w:t>
            </w:r>
          </w:p>
          <w:p w14:paraId="5C076098" w14:textId="4333DE20" w:rsidR="003332EE" w:rsidRPr="00E244A2" w:rsidRDefault="00DF3EB7" w:rsidP="00753D4A">
            <w:pPr>
              <w:pStyle w:val="FSCtblMain"/>
              <w:tabs>
                <w:tab w:val="clear" w:pos="3969"/>
                <w:tab w:val="right" w:pos="1944"/>
              </w:tabs>
              <w:spacing w:before="29" w:after="29"/>
              <w:rPr>
                <w:b w:val="0"/>
                <w:sz w:val="20"/>
              </w:rPr>
            </w:pPr>
            <w:r w:rsidRPr="00E244A2">
              <w:rPr>
                <w:b w:val="0"/>
                <w:sz w:val="20"/>
              </w:rPr>
              <w:t xml:space="preserve">The ability for other beverages to make electrolyte claims and be marketed in a way that may give consumers the impression they are </w:t>
            </w:r>
            <w:r w:rsidR="00EC0BF2" w:rsidRPr="00E244A2">
              <w:rPr>
                <w:b w:val="0"/>
                <w:sz w:val="20"/>
              </w:rPr>
              <w:t>electrolyte drinks</w:t>
            </w:r>
            <w:r w:rsidRPr="00E244A2">
              <w:rPr>
                <w:b w:val="0"/>
                <w:sz w:val="20"/>
              </w:rPr>
              <w:t xml:space="preserve"> remains. Notably, ‘Zero </w:t>
            </w:r>
            <w:r w:rsidR="00753D4A">
              <w:rPr>
                <w:b w:val="0"/>
                <w:sz w:val="20"/>
              </w:rPr>
              <w:t>carbohydrate</w:t>
            </w:r>
            <w:r w:rsidRPr="00E244A2">
              <w:rPr>
                <w:b w:val="0"/>
                <w:sz w:val="20"/>
              </w:rPr>
              <w:t xml:space="preserve">’ drinks can legitimately contain electrolytes and make claims regarding their presence under the formulated beverages requirements. Recommend placing requirements for making electrolytes claims in Standard 1.2.7 to allow the compositional requirements to be added to Schedule 4 which would apply across all foods. </w:t>
            </w:r>
          </w:p>
        </w:tc>
        <w:tc>
          <w:tcPr>
            <w:tcW w:w="1539" w:type="pct"/>
            <w:tcBorders>
              <w:left w:val="single" w:sz="4" w:space="0" w:color="auto"/>
              <w:bottom w:val="single" w:sz="4" w:space="0" w:color="auto"/>
              <w:right w:val="single" w:sz="4" w:space="0" w:color="auto"/>
            </w:tcBorders>
            <w:shd w:val="clear" w:color="auto" w:fill="auto"/>
          </w:tcPr>
          <w:p w14:paraId="2211839C" w14:textId="556B4657" w:rsidR="00452761" w:rsidRPr="00E244A2" w:rsidRDefault="00452761"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color w:val="000000"/>
                <w:sz w:val="20"/>
              </w:rPr>
              <w:t>New Zealand Food Safety</w:t>
            </w:r>
          </w:p>
          <w:p w14:paraId="14F2A9BA" w14:textId="77777777" w:rsidR="00452761" w:rsidRPr="00E244A2" w:rsidRDefault="00452761"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p>
        </w:tc>
        <w:tc>
          <w:tcPr>
            <w:tcW w:w="1796" w:type="pct"/>
            <w:tcBorders>
              <w:left w:val="single" w:sz="4" w:space="0" w:color="auto"/>
              <w:bottom w:val="single" w:sz="4" w:space="0" w:color="auto"/>
            </w:tcBorders>
            <w:shd w:val="clear" w:color="auto" w:fill="auto"/>
          </w:tcPr>
          <w:p w14:paraId="0B3F5777" w14:textId="65EF92AF" w:rsidR="00452761" w:rsidRPr="00E244A2" w:rsidRDefault="00452761"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r w:rsidRPr="00E244A2">
              <w:rPr>
                <w:sz w:val="20"/>
              </w:rPr>
              <w:t>Some ‘prescribed electrolytes’ are also minerals elsewhere in the Code, including Standard 1.2.7 and Sc</w:t>
            </w:r>
            <w:r w:rsidR="004A53D3">
              <w:rPr>
                <w:sz w:val="20"/>
              </w:rPr>
              <w:t>hedule 4 (refer Section 2.4</w:t>
            </w:r>
            <w:r w:rsidR="00DF3EB7" w:rsidRPr="00E244A2">
              <w:rPr>
                <w:sz w:val="20"/>
              </w:rPr>
              <w:t>.5.3</w:t>
            </w:r>
            <w:r w:rsidR="00B10C37" w:rsidRPr="00E244A2">
              <w:rPr>
                <w:sz w:val="20"/>
              </w:rPr>
              <w:t xml:space="preserve"> of this Report</w:t>
            </w:r>
            <w:r w:rsidR="00DF3EB7" w:rsidRPr="00E244A2">
              <w:rPr>
                <w:sz w:val="20"/>
              </w:rPr>
              <w:t xml:space="preserve">). </w:t>
            </w:r>
            <w:r w:rsidRPr="00E244A2">
              <w:rPr>
                <w:sz w:val="20"/>
              </w:rPr>
              <w:t xml:space="preserve">FSANZ therefore considers that conditions for nutrition content claims for prescribed electrolytes </w:t>
            </w:r>
            <w:r w:rsidR="00726C2D" w:rsidRPr="00E244A2">
              <w:rPr>
                <w:sz w:val="20"/>
              </w:rPr>
              <w:t xml:space="preserve">as they relate to electrolyte drinks </w:t>
            </w:r>
            <w:r w:rsidRPr="00E244A2">
              <w:rPr>
                <w:sz w:val="20"/>
              </w:rPr>
              <w:t>should be regulated under Standard 2.6.2.</w:t>
            </w:r>
          </w:p>
          <w:p w14:paraId="6E484F7D" w14:textId="2D89B7FA" w:rsidR="00DF3EB7" w:rsidRPr="00E244A2" w:rsidRDefault="00DF3EB7" w:rsidP="00DC3A59">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r w:rsidRPr="00E244A2">
              <w:rPr>
                <w:sz w:val="20"/>
              </w:rPr>
              <w:t xml:space="preserve">The use of </w:t>
            </w:r>
            <w:r w:rsidR="00753D4A">
              <w:rPr>
                <w:sz w:val="20"/>
              </w:rPr>
              <w:t xml:space="preserve">claims about </w:t>
            </w:r>
            <w:r w:rsidRPr="00E244A2">
              <w:rPr>
                <w:sz w:val="20"/>
              </w:rPr>
              <w:t>electrolyte</w:t>
            </w:r>
            <w:r w:rsidR="00726C2D" w:rsidRPr="00E244A2">
              <w:rPr>
                <w:sz w:val="20"/>
              </w:rPr>
              <w:t>(s)</w:t>
            </w:r>
            <w:r w:rsidR="00753D4A">
              <w:rPr>
                <w:sz w:val="20"/>
              </w:rPr>
              <w:t xml:space="preserve"> </w:t>
            </w:r>
            <w:r w:rsidR="00DC3A59" w:rsidRPr="00E244A2">
              <w:rPr>
                <w:sz w:val="20"/>
              </w:rPr>
              <w:t>on other beverages</w:t>
            </w:r>
            <w:r w:rsidRPr="00E244A2">
              <w:rPr>
                <w:sz w:val="20"/>
              </w:rPr>
              <w:t xml:space="preserve"> f</w:t>
            </w:r>
            <w:r w:rsidR="00D05DF0" w:rsidRPr="00E244A2">
              <w:rPr>
                <w:sz w:val="20"/>
              </w:rPr>
              <w:t>alls outside the scope of this P</w:t>
            </w:r>
            <w:r w:rsidRPr="00E244A2">
              <w:rPr>
                <w:sz w:val="20"/>
              </w:rPr>
              <w:t>roposal</w:t>
            </w:r>
            <w:r w:rsidR="00482667" w:rsidRPr="00E244A2">
              <w:rPr>
                <w:sz w:val="20"/>
              </w:rPr>
              <w:t>.</w:t>
            </w:r>
            <w:r w:rsidR="00B47772" w:rsidRPr="00E244A2">
              <w:rPr>
                <w:sz w:val="20"/>
              </w:rPr>
              <w:t xml:space="preserve"> </w:t>
            </w:r>
            <w:r w:rsidR="006938DF" w:rsidRPr="00E244A2">
              <w:rPr>
                <w:sz w:val="20"/>
              </w:rPr>
              <w:t>However, a</w:t>
            </w:r>
            <w:r w:rsidR="00B47772" w:rsidRPr="00E244A2">
              <w:rPr>
                <w:sz w:val="20"/>
              </w:rPr>
              <w:t xml:space="preserve">s discussed in </w:t>
            </w:r>
            <w:r w:rsidR="009B1683">
              <w:rPr>
                <w:sz w:val="20"/>
              </w:rPr>
              <w:t>S</w:t>
            </w:r>
            <w:r w:rsidR="004A53D3">
              <w:rPr>
                <w:sz w:val="20"/>
              </w:rPr>
              <w:t>ection 2.4</w:t>
            </w:r>
            <w:r w:rsidR="00B47772" w:rsidRPr="00E244A2">
              <w:rPr>
                <w:sz w:val="20"/>
              </w:rPr>
              <w:t>.5.1</w:t>
            </w:r>
            <w:r w:rsidR="009B1683">
              <w:rPr>
                <w:sz w:val="20"/>
              </w:rPr>
              <w:t xml:space="preserve"> below,</w:t>
            </w:r>
            <w:r w:rsidR="00B47772" w:rsidRPr="00E244A2">
              <w:rPr>
                <w:sz w:val="20"/>
              </w:rPr>
              <w:t xml:space="preserve"> requiring the prescribed name ‘Electrolyte drink’ </w:t>
            </w:r>
            <w:r w:rsidR="00265BA2" w:rsidRPr="00E244A2">
              <w:rPr>
                <w:sz w:val="20"/>
              </w:rPr>
              <w:t xml:space="preserve">will </w:t>
            </w:r>
            <w:r w:rsidR="00F667E1" w:rsidRPr="00E244A2">
              <w:rPr>
                <w:sz w:val="20"/>
              </w:rPr>
              <w:t>provide certainty for product identification to avoid confusion with other similar beverages</w:t>
            </w:r>
            <w:r w:rsidR="00482667" w:rsidRPr="00E244A2">
              <w:rPr>
                <w:sz w:val="20"/>
              </w:rPr>
              <w:t>.</w:t>
            </w:r>
          </w:p>
        </w:tc>
      </w:tr>
      <w:tr w:rsidR="00452761" w14:paraId="0A98F17E" w14:textId="77777777" w:rsidTr="00E244A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5" w:type="pct"/>
            <w:tcBorders>
              <w:top w:val="single" w:sz="4" w:space="0" w:color="auto"/>
              <w:bottom w:val="single" w:sz="4" w:space="0" w:color="auto"/>
              <w:right w:val="single" w:sz="4" w:space="0" w:color="auto"/>
            </w:tcBorders>
            <w:shd w:val="clear" w:color="auto" w:fill="auto"/>
          </w:tcPr>
          <w:p w14:paraId="5A39E049" w14:textId="77777777" w:rsidR="00452761" w:rsidRDefault="00452761" w:rsidP="002B7876">
            <w:pPr>
              <w:pStyle w:val="FSCtblMain"/>
              <w:tabs>
                <w:tab w:val="clear" w:pos="3969"/>
                <w:tab w:val="right" w:pos="1944"/>
              </w:tabs>
              <w:spacing w:before="29" w:after="29"/>
              <w:rPr>
                <w:b w:val="0"/>
                <w:sz w:val="20"/>
              </w:rPr>
            </w:pPr>
            <w:r w:rsidRPr="00E244A2">
              <w:rPr>
                <w:b w:val="0"/>
                <w:sz w:val="20"/>
              </w:rPr>
              <w:lastRenderedPageBreak/>
              <w:t>Seek clarification whether there is a need for permitted electrolytes to be added at a minimum level of 10% of the RDI (meets a ‘source’ status) or whether any amount can be added while being able to declare ‘contains electrolytes’.</w:t>
            </w:r>
          </w:p>
          <w:p w14:paraId="275A2FF1" w14:textId="541F923C" w:rsidR="009E6468" w:rsidRPr="00E244A2" w:rsidRDefault="009E6468" w:rsidP="002B7876">
            <w:pPr>
              <w:pStyle w:val="FSCtblMain"/>
              <w:tabs>
                <w:tab w:val="clear" w:pos="3969"/>
                <w:tab w:val="right" w:pos="1944"/>
              </w:tabs>
              <w:spacing w:before="29" w:after="29"/>
              <w:rPr>
                <w:i/>
                <w:sz w:val="20"/>
              </w:rPr>
            </w:pPr>
          </w:p>
        </w:tc>
        <w:tc>
          <w:tcPr>
            <w:tcW w:w="1539" w:type="pct"/>
            <w:tcBorders>
              <w:top w:val="single" w:sz="4" w:space="0" w:color="auto"/>
              <w:left w:val="single" w:sz="4" w:space="0" w:color="auto"/>
              <w:bottom w:val="single" w:sz="4" w:space="0" w:color="auto"/>
              <w:right w:val="single" w:sz="4" w:space="0" w:color="auto"/>
            </w:tcBorders>
            <w:shd w:val="clear" w:color="auto" w:fill="auto"/>
          </w:tcPr>
          <w:p w14:paraId="49EDED8B" w14:textId="77777777" w:rsidR="00452761" w:rsidRPr="00E244A2" w:rsidRDefault="00452761"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Australia Food &amp; Grocery Council</w:t>
            </w:r>
          </w:p>
          <w:p w14:paraId="47BEC1CA" w14:textId="77777777" w:rsidR="00452761" w:rsidRPr="00E244A2" w:rsidRDefault="00452761"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p>
        </w:tc>
        <w:tc>
          <w:tcPr>
            <w:tcW w:w="1796" w:type="pct"/>
            <w:tcBorders>
              <w:top w:val="single" w:sz="4" w:space="0" w:color="auto"/>
              <w:left w:val="single" w:sz="4" w:space="0" w:color="auto"/>
              <w:bottom w:val="single" w:sz="4" w:space="0" w:color="auto"/>
            </w:tcBorders>
            <w:shd w:val="clear" w:color="auto" w:fill="auto"/>
          </w:tcPr>
          <w:p w14:paraId="7C1D497B" w14:textId="77FA6649" w:rsidR="00452761" w:rsidRPr="00E244A2" w:rsidRDefault="00452761"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sz w:val="20"/>
              </w:rPr>
            </w:pPr>
            <w:r w:rsidRPr="00E244A2">
              <w:rPr>
                <w:sz w:val="20"/>
              </w:rPr>
              <w:t>For nutrition content claims about prescribed electrolytes the conditions in Standard 1.2.7 and Schedule 4 woul</w:t>
            </w:r>
            <w:r w:rsidR="005C0FD2" w:rsidRPr="00E244A2">
              <w:rPr>
                <w:sz w:val="20"/>
              </w:rPr>
              <w:t xml:space="preserve">d not apply. This includes the percent </w:t>
            </w:r>
            <w:r w:rsidRPr="00E244A2">
              <w:rPr>
                <w:sz w:val="20"/>
              </w:rPr>
              <w:t xml:space="preserve">RDI conditions for vitamins and minerals in Schedule 4. </w:t>
            </w:r>
            <w:r w:rsidR="002C610B" w:rsidRPr="00E244A2">
              <w:rPr>
                <w:sz w:val="20"/>
              </w:rPr>
              <w:t xml:space="preserve">See </w:t>
            </w:r>
            <w:r w:rsidR="00B10C37" w:rsidRPr="00E244A2">
              <w:rPr>
                <w:sz w:val="20"/>
              </w:rPr>
              <w:t>S</w:t>
            </w:r>
            <w:r w:rsidR="004A53D3">
              <w:rPr>
                <w:sz w:val="20"/>
              </w:rPr>
              <w:t>ection 2.4</w:t>
            </w:r>
            <w:r w:rsidR="002C610B" w:rsidRPr="00E244A2">
              <w:rPr>
                <w:sz w:val="20"/>
              </w:rPr>
              <w:t>.5.3</w:t>
            </w:r>
            <w:r w:rsidR="00B10C37" w:rsidRPr="00E244A2">
              <w:rPr>
                <w:sz w:val="20"/>
              </w:rPr>
              <w:t xml:space="preserve"> of this Report.</w:t>
            </w:r>
          </w:p>
        </w:tc>
      </w:tr>
      <w:tr w:rsidR="00CD4A31" w14:paraId="6EAAEFA7" w14:textId="77777777" w:rsidTr="00D927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5" w:type="pct"/>
            <w:tcBorders>
              <w:right w:val="single" w:sz="4" w:space="0" w:color="auto"/>
            </w:tcBorders>
            <w:shd w:val="clear" w:color="auto" w:fill="auto"/>
          </w:tcPr>
          <w:p w14:paraId="79FAB02B" w14:textId="2AD6E23C" w:rsidR="00F357A0" w:rsidRPr="00E244A2" w:rsidRDefault="00F357A0" w:rsidP="002B7876">
            <w:pPr>
              <w:pStyle w:val="FSCtblMain"/>
              <w:tabs>
                <w:tab w:val="clear" w:pos="3969"/>
                <w:tab w:val="right" w:pos="1944"/>
              </w:tabs>
              <w:spacing w:before="29" w:after="29"/>
              <w:rPr>
                <w:i/>
                <w:color w:val="000000"/>
                <w:sz w:val="20"/>
              </w:rPr>
            </w:pPr>
            <w:r w:rsidRPr="00E244A2">
              <w:rPr>
                <w:i/>
                <w:color w:val="000000"/>
                <w:sz w:val="20"/>
              </w:rPr>
              <w:t>Self-substantiation of health claims</w:t>
            </w:r>
          </w:p>
          <w:p w14:paraId="21456845" w14:textId="1A2C5040" w:rsidR="00F357A0" w:rsidRPr="00E244A2" w:rsidRDefault="00F357A0" w:rsidP="002B7876">
            <w:pPr>
              <w:pStyle w:val="FSCtblMain"/>
              <w:tabs>
                <w:tab w:val="clear" w:pos="3969"/>
                <w:tab w:val="right" w:pos="1944"/>
              </w:tabs>
              <w:spacing w:before="29" w:after="29"/>
              <w:rPr>
                <w:color w:val="000000"/>
                <w:sz w:val="20"/>
              </w:rPr>
            </w:pPr>
            <w:r w:rsidRPr="00E244A2">
              <w:rPr>
                <w:b w:val="0"/>
                <w:color w:val="000000"/>
                <w:sz w:val="20"/>
              </w:rPr>
              <w:t>Strongly reject prohibition o</w:t>
            </w:r>
            <w:r w:rsidR="00753D4A">
              <w:rPr>
                <w:b w:val="0"/>
                <w:color w:val="000000"/>
                <w:sz w:val="20"/>
              </w:rPr>
              <w:t>f</w:t>
            </w:r>
            <w:r w:rsidRPr="00E244A2">
              <w:rPr>
                <w:b w:val="0"/>
                <w:color w:val="000000"/>
                <w:sz w:val="20"/>
              </w:rPr>
              <w:t xml:space="preserve"> self-substantiated health claims</w:t>
            </w:r>
            <w:r w:rsidR="00753D4A">
              <w:rPr>
                <w:b w:val="0"/>
                <w:color w:val="000000"/>
                <w:sz w:val="20"/>
              </w:rPr>
              <w:t>.</w:t>
            </w:r>
          </w:p>
          <w:p w14:paraId="7EBDE246" w14:textId="77777777" w:rsidR="00F357A0" w:rsidRPr="00E244A2" w:rsidRDefault="00F357A0" w:rsidP="002B7876">
            <w:pPr>
              <w:pStyle w:val="FSCtblMain"/>
              <w:tabs>
                <w:tab w:val="clear" w:pos="3969"/>
                <w:tab w:val="right" w:pos="1944"/>
              </w:tabs>
              <w:spacing w:before="29" w:after="29"/>
              <w:rPr>
                <w:color w:val="000000"/>
                <w:sz w:val="20"/>
              </w:rPr>
            </w:pPr>
            <w:r w:rsidRPr="00E244A2">
              <w:rPr>
                <w:b w:val="0"/>
                <w:color w:val="000000"/>
                <w:sz w:val="20"/>
              </w:rPr>
              <w:t xml:space="preserve">The self-substantiation process </w:t>
            </w:r>
            <w:r w:rsidRPr="00E244A2">
              <w:rPr>
                <w:rFonts w:eastAsia="Calibri"/>
                <w:b w:val="0"/>
                <w:sz w:val="20"/>
              </w:rPr>
              <w:t>incentivises</w:t>
            </w:r>
            <w:r w:rsidRPr="00E244A2">
              <w:rPr>
                <w:b w:val="0"/>
                <w:color w:val="000000"/>
                <w:sz w:val="20"/>
              </w:rPr>
              <w:t xml:space="preserve"> industry to: reformulate, provide broader consumer choice and respond to both evolving consumers’ needs and public health policy recommendations.</w:t>
            </w:r>
          </w:p>
          <w:p w14:paraId="559E9502" w14:textId="5CBC4CC8" w:rsidR="00F357A0" w:rsidRPr="00E244A2" w:rsidRDefault="00F357A0" w:rsidP="002B7876">
            <w:pPr>
              <w:pStyle w:val="FSCtblMain"/>
              <w:tabs>
                <w:tab w:val="clear" w:pos="3969"/>
                <w:tab w:val="right" w:pos="1944"/>
              </w:tabs>
              <w:spacing w:before="29" w:after="29"/>
              <w:rPr>
                <w:color w:val="000000"/>
                <w:sz w:val="20"/>
              </w:rPr>
            </w:pPr>
            <w:r w:rsidRPr="00E244A2">
              <w:rPr>
                <w:b w:val="0"/>
                <w:color w:val="000000"/>
                <w:sz w:val="20"/>
              </w:rPr>
              <w:t xml:space="preserve">A prohibition on self-substantiated </w:t>
            </w:r>
            <w:r w:rsidR="00482667" w:rsidRPr="00E244A2">
              <w:rPr>
                <w:b w:val="0"/>
                <w:color w:val="000000"/>
                <w:sz w:val="20"/>
              </w:rPr>
              <w:t>health claim</w:t>
            </w:r>
            <w:r w:rsidRPr="00E244A2">
              <w:rPr>
                <w:b w:val="0"/>
                <w:color w:val="000000"/>
                <w:sz w:val="20"/>
              </w:rPr>
              <w:t xml:space="preserve">s is </w:t>
            </w:r>
            <w:r w:rsidR="00A4171C" w:rsidRPr="00E244A2">
              <w:rPr>
                <w:b w:val="0"/>
                <w:color w:val="000000"/>
                <w:sz w:val="20"/>
              </w:rPr>
              <w:t>restrictive and disadvantages electrolyte drink</w:t>
            </w:r>
            <w:r w:rsidRPr="00E244A2">
              <w:rPr>
                <w:b w:val="0"/>
                <w:color w:val="000000"/>
                <w:sz w:val="20"/>
              </w:rPr>
              <w:t>s over any other product category and suggest the restriction is removed.</w:t>
            </w:r>
          </w:p>
          <w:p w14:paraId="3FC7580D" w14:textId="7B51F03A" w:rsidR="00F357A0" w:rsidRPr="00E244A2" w:rsidRDefault="00F357A0" w:rsidP="002B7876">
            <w:pPr>
              <w:pStyle w:val="FSCtblMain"/>
              <w:tabs>
                <w:tab w:val="clear" w:pos="3969"/>
                <w:tab w:val="right" w:pos="1944"/>
              </w:tabs>
              <w:spacing w:before="29" w:after="29"/>
              <w:rPr>
                <w:color w:val="000000"/>
                <w:sz w:val="20"/>
              </w:rPr>
            </w:pPr>
            <w:r w:rsidRPr="00E244A2">
              <w:rPr>
                <w:b w:val="0"/>
                <w:color w:val="000000"/>
                <w:sz w:val="20"/>
              </w:rPr>
              <w:t>It will restrict the grow</w:t>
            </w:r>
            <w:r w:rsidR="00A4171C" w:rsidRPr="00E244A2">
              <w:rPr>
                <w:b w:val="0"/>
                <w:color w:val="000000"/>
                <w:sz w:val="20"/>
              </w:rPr>
              <w:t>th of scientific evidence re: electrolyte drink</w:t>
            </w:r>
            <w:r w:rsidRPr="00E244A2">
              <w:rPr>
                <w:b w:val="0"/>
                <w:color w:val="000000"/>
                <w:sz w:val="20"/>
              </w:rPr>
              <w:t xml:space="preserve">s in sports performance and potentially discourage use of the </w:t>
            </w:r>
            <w:r w:rsidR="00A4171C" w:rsidRPr="00E244A2">
              <w:rPr>
                <w:b w:val="0"/>
                <w:color w:val="000000"/>
                <w:sz w:val="20"/>
              </w:rPr>
              <w:t>electrolyte drink standard</w:t>
            </w:r>
            <w:r w:rsidRPr="00E244A2">
              <w:rPr>
                <w:b w:val="0"/>
                <w:color w:val="000000"/>
                <w:sz w:val="20"/>
              </w:rPr>
              <w:t xml:space="preserve">. </w:t>
            </w:r>
          </w:p>
          <w:p w14:paraId="4076986A" w14:textId="77777777" w:rsidR="00CD4A31" w:rsidRDefault="00A4171C" w:rsidP="002B7876">
            <w:pPr>
              <w:pStyle w:val="FSCtblMain"/>
              <w:tabs>
                <w:tab w:val="clear" w:pos="3969"/>
                <w:tab w:val="right" w:pos="1944"/>
              </w:tabs>
              <w:spacing w:before="29" w:after="29"/>
              <w:rPr>
                <w:rFonts w:eastAsia="Calibri"/>
                <w:b w:val="0"/>
                <w:sz w:val="20"/>
              </w:rPr>
            </w:pPr>
            <w:r w:rsidRPr="00E244A2">
              <w:rPr>
                <w:rFonts w:eastAsia="Calibri"/>
                <w:b w:val="0"/>
                <w:sz w:val="20"/>
              </w:rPr>
              <w:t>The requirements of Standard</w:t>
            </w:r>
            <w:r w:rsidR="00F357A0" w:rsidRPr="00E244A2">
              <w:rPr>
                <w:rFonts w:eastAsia="Calibri"/>
                <w:b w:val="0"/>
                <w:sz w:val="20"/>
              </w:rPr>
              <w:t xml:space="preserve"> 1.2.7 would facilitate evidenc</w:t>
            </w:r>
            <w:r w:rsidRPr="00E244A2">
              <w:rPr>
                <w:rFonts w:eastAsia="Calibri"/>
                <w:b w:val="0"/>
                <w:sz w:val="20"/>
              </w:rPr>
              <w:t>e based self-substantiated health claim</w:t>
            </w:r>
            <w:r w:rsidR="00F357A0" w:rsidRPr="00E244A2">
              <w:rPr>
                <w:rFonts w:eastAsia="Calibri"/>
                <w:b w:val="0"/>
                <w:sz w:val="20"/>
              </w:rPr>
              <w:t>s</w:t>
            </w:r>
            <w:r w:rsidRPr="00E244A2">
              <w:rPr>
                <w:rFonts w:eastAsia="Calibri"/>
                <w:b w:val="0"/>
                <w:sz w:val="20"/>
              </w:rPr>
              <w:t>.</w:t>
            </w:r>
          </w:p>
          <w:p w14:paraId="3D41B82D" w14:textId="1DEDA243" w:rsidR="009E6468" w:rsidRPr="00E244A2" w:rsidRDefault="009E6468" w:rsidP="002B7876">
            <w:pPr>
              <w:pStyle w:val="FSCtblMain"/>
              <w:tabs>
                <w:tab w:val="clear" w:pos="3969"/>
                <w:tab w:val="right" w:pos="1944"/>
              </w:tabs>
              <w:spacing w:before="29" w:after="29"/>
              <w:rPr>
                <w:b w:val="0"/>
                <w:color w:val="000000"/>
                <w:sz w:val="20"/>
              </w:rPr>
            </w:pPr>
          </w:p>
        </w:tc>
        <w:tc>
          <w:tcPr>
            <w:tcW w:w="1539" w:type="pct"/>
            <w:tcBorders>
              <w:left w:val="single" w:sz="4" w:space="0" w:color="auto"/>
              <w:right w:val="single" w:sz="4" w:space="0" w:color="auto"/>
            </w:tcBorders>
            <w:shd w:val="clear" w:color="auto" w:fill="auto"/>
          </w:tcPr>
          <w:p w14:paraId="7A77AE57" w14:textId="77777777" w:rsidR="00F357A0" w:rsidRPr="00E244A2" w:rsidRDefault="00F357A0"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color w:val="000000"/>
                <w:sz w:val="20"/>
              </w:rPr>
              <w:t>Australian Beverages Council Limited</w:t>
            </w:r>
          </w:p>
          <w:p w14:paraId="5C683158" w14:textId="77777777" w:rsidR="00F357A0" w:rsidRPr="00E244A2" w:rsidRDefault="00F357A0"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color w:val="000000"/>
                <w:sz w:val="20"/>
              </w:rPr>
              <w:t>Australia Food &amp; Grocery Council</w:t>
            </w:r>
          </w:p>
          <w:p w14:paraId="2439F2FC" w14:textId="77777777" w:rsidR="00F357A0" w:rsidRPr="00E244A2" w:rsidRDefault="00F357A0"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r w:rsidRPr="00E244A2">
              <w:rPr>
                <w:sz w:val="20"/>
              </w:rPr>
              <w:t>New Zealand Beverages Council</w:t>
            </w:r>
          </w:p>
          <w:p w14:paraId="5E2B643E" w14:textId="77777777" w:rsidR="00F357A0" w:rsidRPr="00E244A2" w:rsidRDefault="00F357A0"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color w:val="000000"/>
                <w:sz w:val="20"/>
              </w:rPr>
              <w:t xml:space="preserve">New Zealand Food &amp; Grocery Council </w:t>
            </w:r>
          </w:p>
          <w:p w14:paraId="1D436F71" w14:textId="41B18F4A" w:rsidR="00CD4A31" w:rsidRPr="00E244A2" w:rsidRDefault="00F357A0"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color w:val="000000"/>
                <w:sz w:val="20"/>
              </w:rPr>
              <w:t>New Zealand Food Safety</w:t>
            </w:r>
          </w:p>
        </w:tc>
        <w:tc>
          <w:tcPr>
            <w:tcW w:w="1796" w:type="pct"/>
            <w:tcBorders>
              <w:left w:val="single" w:sz="4" w:space="0" w:color="auto"/>
            </w:tcBorders>
            <w:shd w:val="clear" w:color="auto" w:fill="auto"/>
          </w:tcPr>
          <w:p w14:paraId="6A5FEB56" w14:textId="5C6932A5" w:rsidR="00F357A0" w:rsidRPr="00E244A2" w:rsidRDefault="00B87CCD"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color w:val="000000"/>
                <w:sz w:val="20"/>
              </w:rPr>
              <w:t xml:space="preserve">After consideration of submissions, </w:t>
            </w:r>
            <w:r w:rsidR="00F357A0" w:rsidRPr="00E244A2">
              <w:rPr>
                <w:color w:val="000000"/>
                <w:sz w:val="20"/>
              </w:rPr>
              <w:t>FSANZ</w:t>
            </w:r>
            <w:r w:rsidR="00753D4A">
              <w:rPr>
                <w:color w:val="000000"/>
                <w:sz w:val="20"/>
              </w:rPr>
              <w:t>’s</w:t>
            </w:r>
            <w:r w:rsidR="00F357A0" w:rsidRPr="00E244A2">
              <w:rPr>
                <w:color w:val="000000"/>
                <w:sz w:val="20"/>
              </w:rPr>
              <w:t xml:space="preserve"> </w:t>
            </w:r>
            <w:r w:rsidRPr="00E244A2">
              <w:rPr>
                <w:color w:val="000000"/>
                <w:sz w:val="20"/>
              </w:rPr>
              <w:t xml:space="preserve">position remained that </w:t>
            </w:r>
            <w:r w:rsidR="00F357A0" w:rsidRPr="00E244A2">
              <w:rPr>
                <w:color w:val="000000"/>
                <w:sz w:val="20"/>
              </w:rPr>
              <w:t xml:space="preserve">only three pre-approved health claims </w:t>
            </w:r>
            <w:r w:rsidR="00685596" w:rsidRPr="00E244A2">
              <w:rPr>
                <w:rFonts w:eastAsia="Calibri"/>
                <w:sz w:val="20"/>
              </w:rPr>
              <w:t>associated with the intended purpose of electrolyte drinks for hydration and maintenance of performance</w:t>
            </w:r>
            <w:r w:rsidRPr="00E244A2">
              <w:rPr>
                <w:rFonts w:eastAsia="Calibri"/>
                <w:sz w:val="20"/>
              </w:rPr>
              <w:t xml:space="preserve"> should be permitted</w:t>
            </w:r>
            <w:r w:rsidR="00F357A0" w:rsidRPr="00E244A2">
              <w:rPr>
                <w:color w:val="000000"/>
                <w:sz w:val="20"/>
              </w:rPr>
              <w:t xml:space="preserve">. </w:t>
            </w:r>
            <w:r w:rsidR="00685596" w:rsidRPr="00E244A2">
              <w:rPr>
                <w:color w:val="000000"/>
                <w:sz w:val="20"/>
              </w:rPr>
              <w:t xml:space="preserve">See </w:t>
            </w:r>
            <w:r w:rsidR="004A53D3">
              <w:rPr>
                <w:color w:val="000000"/>
                <w:sz w:val="20"/>
              </w:rPr>
              <w:t>Section 2.4</w:t>
            </w:r>
            <w:r w:rsidR="0059665B" w:rsidRPr="00E244A2">
              <w:rPr>
                <w:color w:val="000000"/>
                <w:sz w:val="20"/>
              </w:rPr>
              <w:t>.5.4</w:t>
            </w:r>
            <w:r w:rsidR="00B10C37" w:rsidRPr="00E244A2">
              <w:rPr>
                <w:color w:val="000000"/>
                <w:sz w:val="20"/>
              </w:rPr>
              <w:t xml:space="preserve"> of this Report.</w:t>
            </w:r>
          </w:p>
          <w:p w14:paraId="3F16F467" w14:textId="2955126A" w:rsidR="00CD4A31" w:rsidRPr="00E244A2" w:rsidRDefault="00CD4A31"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p>
        </w:tc>
      </w:tr>
      <w:tr w:rsidR="00F357A0" w14:paraId="31E346FF" w14:textId="77777777" w:rsidTr="00D927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5" w:type="pct"/>
            <w:tcBorders>
              <w:bottom w:val="single" w:sz="4" w:space="0" w:color="auto"/>
              <w:right w:val="single" w:sz="4" w:space="0" w:color="auto"/>
            </w:tcBorders>
            <w:shd w:val="clear" w:color="auto" w:fill="auto"/>
          </w:tcPr>
          <w:p w14:paraId="02302014" w14:textId="45BC6506" w:rsidR="00F357A0" w:rsidRPr="00E244A2" w:rsidRDefault="003527AA" w:rsidP="002B7876">
            <w:pPr>
              <w:pStyle w:val="FSCtblMain"/>
              <w:tabs>
                <w:tab w:val="clear" w:pos="3969"/>
                <w:tab w:val="right" w:pos="1944"/>
              </w:tabs>
              <w:spacing w:before="29" w:after="29"/>
              <w:rPr>
                <w:i/>
                <w:color w:val="000000"/>
                <w:sz w:val="20"/>
              </w:rPr>
            </w:pPr>
            <w:r w:rsidRPr="00E244A2">
              <w:rPr>
                <w:i/>
                <w:color w:val="000000"/>
                <w:sz w:val="20"/>
              </w:rPr>
              <w:lastRenderedPageBreak/>
              <w:t>Pre-</w:t>
            </w:r>
            <w:r w:rsidR="00F357A0" w:rsidRPr="00E244A2">
              <w:rPr>
                <w:i/>
                <w:color w:val="000000"/>
                <w:sz w:val="20"/>
              </w:rPr>
              <w:t>approved health claims</w:t>
            </w:r>
          </w:p>
          <w:p w14:paraId="0B4B4841" w14:textId="12D79F9B" w:rsidR="00F357A0" w:rsidRPr="00E244A2" w:rsidRDefault="00F357A0" w:rsidP="002B7876">
            <w:pPr>
              <w:pStyle w:val="FSCtblMain"/>
              <w:tabs>
                <w:tab w:val="clear" w:pos="3969"/>
                <w:tab w:val="right" w:pos="1944"/>
              </w:tabs>
              <w:spacing w:before="29" w:after="29"/>
              <w:rPr>
                <w:sz w:val="20"/>
              </w:rPr>
            </w:pPr>
            <w:r w:rsidRPr="00E244A2">
              <w:rPr>
                <w:b w:val="0"/>
                <w:sz w:val="20"/>
              </w:rPr>
              <w:t>Should be broadened to include</w:t>
            </w:r>
            <w:r w:rsidR="005C0FD2" w:rsidRPr="00E244A2">
              <w:rPr>
                <w:b w:val="0"/>
                <w:sz w:val="20"/>
              </w:rPr>
              <w:t xml:space="preserve"> hydration prior to strenuous physical activity</w:t>
            </w:r>
            <w:r w:rsidRPr="00E244A2">
              <w:rPr>
                <w:b w:val="0"/>
                <w:sz w:val="20"/>
              </w:rPr>
              <w:t xml:space="preserve">, together with </w:t>
            </w:r>
            <w:r w:rsidR="00D906AD" w:rsidRPr="00E244A2">
              <w:rPr>
                <w:b w:val="0"/>
                <w:sz w:val="20"/>
              </w:rPr>
              <w:t>carbohydrate</w:t>
            </w:r>
            <w:r w:rsidRPr="00E244A2">
              <w:rPr>
                <w:b w:val="0"/>
                <w:sz w:val="20"/>
              </w:rPr>
              <w:t xml:space="preserve"> and energy and </w:t>
            </w:r>
            <w:r w:rsidR="005C0FD2" w:rsidRPr="00E244A2">
              <w:rPr>
                <w:b w:val="0"/>
                <w:sz w:val="20"/>
              </w:rPr>
              <w:t>energy for normal metabolism health claims</w:t>
            </w:r>
            <w:r w:rsidRPr="00E244A2">
              <w:rPr>
                <w:b w:val="0"/>
                <w:sz w:val="20"/>
              </w:rPr>
              <w:t xml:space="preserve"> as per Schedule 4–3. </w:t>
            </w:r>
          </w:p>
          <w:p w14:paraId="41FB6F4B" w14:textId="3BC9FA68" w:rsidR="00F357A0" w:rsidRPr="00E244A2" w:rsidRDefault="00F357A0" w:rsidP="002B7876">
            <w:pPr>
              <w:pStyle w:val="FSCtblMain"/>
              <w:tabs>
                <w:tab w:val="clear" w:pos="3969"/>
                <w:tab w:val="right" w:pos="1944"/>
              </w:tabs>
              <w:spacing w:before="29" w:after="29"/>
              <w:rPr>
                <w:i/>
                <w:color w:val="000000"/>
                <w:sz w:val="20"/>
              </w:rPr>
            </w:pPr>
          </w:p>
        </w:tc>
        <w:tc>
          <w:tcPr>
            <w:tcW w:w="1539" w:type="pct"/>
            <w:tcBorders>
              <w:left w:val="single" w:sz="4" w:space="0" w:color="auto"/>
              <w:bottom w:val="single" w:sz="4" w:space="0" w:color="auto"/>
              <w:right w:val="single" w:sz="4" w:space="0" w:color="auto"/>
            </w:tcBorders>
            <w:shd w:val="clear" w:color="auto" w:fill="auto"/>
          </w:tcPr>
          <w:p w14:paraId="64C8A48B" w14:textId="77777777" w:rsidR="003527AA" w:rsidRPr="00E244A2" w:rsidRDefault="003527AA"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Australian Beverages Council Limited</w:t>
            </w:r>
          </w:p>
          <w:p w14:paraId="005D49D5" w14:textId="77777777" w:rsidR="003527AA" w:rsidRPr="00E244A2" w:rsidRDefault="003527AA"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Australia Food &amp; Grocery Council</w:t>
            </w:r>
          </w:p>
          <w:p w14:paraId="38B27D77" w14:textId="77777777" w:rsidR="003527AA" w:rsidRPr="00E244A2" w:rsidRDefault="003527AA"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 xml:space="preserve">New Zealand Food &amp; Grocery Council </w:t>
            </w:r>
          </w:p>
          <w:p w14:paraId="65E971BA" w14:textId="77777777" w:rsidR="00F357A0" w:rsidRPr="00E244A2" w:rsidRDefault="00F357A0"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p>
        </w:tc>
        <w:tc>
          <w:tcPr>
            <w:tcW w:w="1796" w:type="pct"/>
            <w:tcBorders>
              <w:left w:val="single" w:sz="4" w:space="0" w:color="auto"/>
              <w:bottom w:val="single" w:sz="4" w:space="0" w:color="auto"/>
            </w:tcBorders>
            <w:shd w:val="clear" w:color="auto" w:fill="auto"/>
          </w:tcPr>
          <w:p w14:paraId="01656D7D" w14:textId="520AC06A" w:rsidR="003527AA" w:rsidRPr="00E244A2" w:rsidRDefault="003527AA"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 xml:space="preserve">FSANZ </w:t>
            </w:r>
            <w:r w:rsidR="009A2A8F" w:rsidRPr="00E244A2">
              <w:rPr>
                <w:color w:val="000000"/>
                <w:sz w:val="20"/>
              </w:rPr>
              <w:t xml:space="preserve">is permitting </w:t>
            </w:r>
            <w:r w:rsidRPr="00E244A2">
              <w:rPr>
                <w:color w:val="000000"/>
                <w:sz w:val="20"/>
              </w:rPr>
              <w:t xml:space="preserve">three pre-approved </w:t>
            </w:r>
            <w:r w:rsidR="00C20DC6" w:rsidRPr="00E244A2">
              <w:rPr>
                <w:color w:val="000000"/>
                <w:sz w:val="20"/>
              </w:rPr>
              <w:t xml:space="preserve">health </w:t>
            </w:r>
            <w:r w:rsidRPr="00E244A2">
              <w:rPr>
                <w:color w:val="000000"/>
                <w:sz w:val="20"/>
              </w:rPr>
              <w:t>claims</w:t>
            </w:r>
            <w:r w:rsidR="00B621F2" w:rsidRPr="00E244A2">
              <w:rPr>
                <w:sz w:val="20"/>
                <w:lang w:eastAsia="en-GB"/>
              </w:rPr>
              <w:t xml:space="preserve"> based on findings of the assessment undertaken by FSANZ (SD1) and EFSA as the evidence base for amending the current claim permission for electrolyte drinks.</w:t>
            </w:r>
            <w:r w:rsidRPr="00E244A2">
              <w:rPr>
                <w:color w:val="000000"/>
                <w:sz w:val="20"/>
              </w:rPr>
              <w:t xml:space="preserve"> </w:t>
            </w:r>
            <w:r w:rsidR="00B621F2" w:rsidRPr="00E244A2">
              <w:rPr>
                <w:color w:val="000000"/>
                <w:sz w:val="20"/>
              </w:rPr>
              <w:t xml:space="preserve">The evidence for </w:t>
            </w:r>
            <w:r w:rsidR="00903A0D" w:rsidRPr="00E244A2">
              <w:rPr>
                <w:color w:val="000000"/>
                <w:sz w:val="20"/>
              </w:rPr>
              <w:t xml:space="preserve">the </w:t>
            </w:r>
            <w:r w:rsidRPr="00E244A2">
              <w:rPr>
                <w:color w:val="000000"/>
                <w:sz w:val="20"/>
              </w:rPr>
              <w:t>two EU authorised claims for carbohydrate electrolyte solutions to: enhance the absorption of water during physical exercise and contribute to the maintenance of endurance performance during endurance exercise has been reviewed and supported by EFSA, for electrolyte drinks containing ~1.9-8.4% carbohydrate.</w:t>
            </w:r>
          </w:p>
          <w:p w14:paraId="49AAA8F0" w14:textId="77777777" w:rsidR="00F357A0" w:rsidRDefault="003527AA"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FSANZ’s assessment considered data from human studies that compared the effect of consuming electrolyte drinks with different carbohydrate content during and after exercise on rehydration and performance. Consideration of other conditions and/or other health effects relating to electrolyte drink consumption (including effects on metabolism) were not included in the assessment.</w:t>
            </w:r>
          </w:p>
          <w:p w14:paraId="47BCD279" w14:textId="256FB620" w:rsidR="009E6468" w:rsidRPr="00E244A2" w:rsidRDefault="009E6468"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p>
        </w:tc>
      </w:tr>
      <w:tr w:rsidR="00F357A0" w14:paraId="65CB7F1C" w14:textId="77777777" w:rsidTr="00D927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5" w:type="pct"/>
            <w:tcBorders>
              <w:right w:val="single" w:sz="4" w:space="0" w:color="auto"/>
            </w:tcBorders>
            <w:shd w:val="clear" w:color="auto" w:fill="auto"/>
          </w:tcPr>
          <w:p w14:paraId="36BAFDFD" w14:textId="4173C284" w:rsidR="003527AA" w:rsidRPr="00E244A2" w:rsidRDefault="009A2A8F" w:rsidP="002B7876">
            <w:pPr>
              <w:pStyle w:val="FSCtblMain"/>
              <w:tabs>
                <w:tab w:val="clear" w:pos="3969"/>
                <w:tab w:val="right" w:pos="1944"/>
              </w:tabs>
              <w:spacing w:before="29" w:after="29"/>
              <w:rPr>
                <w:i/>
                <w:sz w:val="20"/>
              </w:rPr>
            </w:pPr>
            <w:r w:rsidRPr="00E244A2">
              <w:rPr>
                <w:i/>
                <w:sz w:val="20"/>
              </w:rPr>
              <w:t>Loss</w:t>
            </w:r>
            <w:r w:rsidR="001F33EB" w:rsidRPr="00E244A2">
              <w:rPr>
                <w:i/>
                <w:sz w:val="20"/>
              </w:rPr>
              <w:t xml:space="preserve"> of </w:t>
            </w:r>
            <w:r w:rsidRPr="00E244A2">
              <w:rPr>
                <w:i/>
                <w:sz w:val="20"/>
              </w:rPr>
              <w:t xml:space="preserve">‘availability of energy’ part of the </w:t>
            </w:r>
            <w:r w:rsidR="001F33EB" w:rsidRPr="00E244A2">
              <w:rPr>
                <w:i/>
                <w:sz w:val="20"/>
              </w:rPr>
              <w:t>existing</w:t>
            </w:r>
            <w:r w:rsidR="003527AA" w:rsidRPr="00E244A2">
              <w:rPr>
                <w:i/>
                <w:sz w:val="20"/>
              </w:rPr>
              <w:t xml:space="preserve"> health claim</w:t>
            </w:r>
          </w:p>
          <w:p w14:paraId="7A911E29" w14:textId="76FAC0AE" w:rsidR="003527AA" w:rsidRPr="00E244A2" w:rsidRDefault="003527AA" w:rsidP="002B7876">
            <w:pPr>
              <w:pStyle w:val="FSCtblMain"/>
              <w:tabs>
                <w:tab w:val="clear" w:pos="3969"/>
                <w:tab w:val="right" w:pos="1944"/>
              </w:tabs>
              <w:spacing w:before="29" w:after="29"/>
              <w:rPr>
                <w:b w:val="0"/>
                <w:sz w:val="20"/>
              </w:rPr>
            </w:pPr>
            <w:r w:rsidRPr="00E244A2">
              <w:rPr>
                <w:b w:val="0"/>
                <w:sz w:val="20"/>
              </w:rPr>
              <w:t>No scientific rationale was provided to justify the removal of the current</w:t>
            </w:r>
            <w:r w:rsidR="009C4FCC">
              <w:rPr>
                <w:b w:val="0"/>
                <w:sz w:val="20"/>
              </w:rPr>
              <w:t xml:space="preserve"> permission to</w:t>
            </w:r>
            <w:r w:rsidRPr="00E244A2">
              <w:rPr>
                <w:b w:val="0"/>
                <w:sz w:val="20"/>
              </w:rPr>
              <w:t xml:space="preserve"> promote the availability of energy nor was the effect of </w:t>
            </w:r>
            <w:r w:rsidR="00D906AD" w:rsidRPr="00E244A2">
              <w:rPr>
                <w:b w:val="0"/>
                <w:sz w:val="20"/>
              </w:rPr>
              <w:t>carbohydrate</w:t>
            </w:r>
            <w:r w:rsidRPr="00E244A2">
              <w:rPr>
                <w:b w:val="0"/>
                <w:sz w:val="20"/>
              </w:rPr>
              <w:t xml:space="preserve"> on energy a measured outcome in SD1. </w:t>
            </w:r>
          </w:p>
          <w:p w14:paraId="5A9445E2" w14:textId="2AE4AE81" w:rsidR="00F357A0" w:rsidRPr="00E244A2" w:rsidRDefault="00A4171C" w:rsidP="002B7876">
            <w:pPr>
              <w:pStyle w:val="FSCtblMain"/>
              <w:tabs>
                <w:tab w:val="clear" w:pos="3969"/>
                <w:tab w:val="right" w:pos="1944"/>
              </w:tabs>
              <w:spacing w:before="29" w:after="29"/>
              <w:rPr>
                <w:b w:val="0"/>
                <w:i/>
                <w:color w:val="000000"/>
                <w:sz w:val="20"/>
              </w:rPr>
            </w:pPr>
            <w:r w:rsidRPr="00E244A2">
              <w:rPr>
                <w:rFonts w:eastAsia="Calibri"/>
                <w:b w:val="0"/>
                <w:sz w:val="20"/>
              </w:rPr>
              <w:t xml:space="preserve">Advise higher </w:t>
            </w:r>
            <w:r w:rsidR="00D906AD" w:rsidRPr="00E244A2">
              <w:rPr>
                <w:rFonts w:eastAsia="Calibri"/>
                <w:b w:val="0"/>
                <w:sz w:val="20"/>
              </w:rPr>
              <w:t>carbohydrate</w:t>
            </w:r>
            <w:r w:rsidRPr="00E244A2">
              <w:rPr>
                <w:rFonts w:eastAsia="Calibri"/>
                <w:b w:val="0"/>
                <w:sz w:val="20"/>
              </w:rPr>
              <w:t xml:space="preserve"> (≥5%) electrolyte drink</w:t>
            </w:r>
            <w:r w:rsidR="003527AA" w:rsidRPr="00E244A2">
              <w:rPr>
                <w:rFonts w:eastAsia="Calibri"/>
                <w:b w:val="0"/>
                <w:sz w:val="20"/>
              </w:rPr>
              <w:t>s are consumed for both hydrating and energising benefits, depending on individual dietary needs and the environment under which they’re exercising in. Suggest consumers shou</w:t>
            </w:r>
            <w:r w:rsidRPr="00E244A2">
              <w:rPr>
                <w:rFonts w:eastAsia="Calibri"/>
                <w:b w:val="0"/>
                <w:sz w:val="20"/>
              </w:rPr>
              <w:t>ld be able to easily identify electrolyte drink</w:t>
            </w:r>
            <w:r w:rsidR="003527AA" w:rsidRPr="00E244A2">
              <w:rPr>
                <w:rFonts w:eastAsia="Calibri"/>
                <w:b w:val="0"/>
                <w:sz w:val="20"/>
              </w:rPr>
              <w:t>s intended for both hydrating and refuelling.</w:t>
            </w:r>
          </w:p>
        </w:tc>
        <w:tc>
          <w:tcPr>
            <w:tcW w:w="1539" w:type="pct"/>
            <w:tcBorders>
              <w:left w:val="single" w:sz="4" w:space="0" w:color="auto"/>
              <w:right w:val="single" w:sz="4" w:space="0" w:color="auto"/>
            </w:tcBorders>
            <w:shd w:val="clear" w:color="auto" w:fill="auto"/>
          </w:tcPr>
          <w:p w14:paraId="61632E02" w14:textId="0DD745A0" w:rsidR="003527AA" w:rsidRPr="00E244A2" w:rsidRDefault="003527AA"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color w:val="000000"/>
                <w:sz w:val="20"/>
              </w:rPr>
              <w:t>Australian Beverages Council Limited</w:t>
            </w:r>
          </w:p>
          <w:p w14:paraId="0549C4D3" w14:textId="77777777" w:rsidR="00F357A0" w:rsidRPr="00E244A2" w:rsidRDefault="00F357A0"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p>
        </w:tc>
        <w:tc>
          <w:tcPr>
            <w:tcW w:w="1796" w:type="pct"/>
            <w:tcBorders>
              <w:left w:val="single" w:sz="4" w:space="0" w:color="auto"/>
            </w:tcBorders>
            <w:shd w:val="clear" w:color="auto" w:fill="auto"/>
          </w:tcPr>
          <w:p w14:paraId="18B618DE" w14:textId="33F6DBF3" w:rsidR="00543040" w:rsidRPr="00E244A2" w:rsidRDefault="003527AA"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color w:val="000000"/>
                <w:sz w:val="20"/>
              </w:rPr>
              <w:t xml:space="preserve">Electrolyte drinks will continue to be permitted to carry nutrition content claims about energy and carbohydrate in accordance with Standard 1.2.7. The </w:t>
            </w:r>
            <w:r w:rsidR="009A2A8F" w:rsidRPr="00E244A2">
              <w:rPr>
                <w:color w:val="000000"/>
                <w:sz w:val="20"/>
              </w:rPr>
              <w:t xml:space="preserve">permitted </w:t>
            </w:r>
            <w:r w:rsidRPr="00E244A2">
              <w:rPr>
                <w:color w:val="000000"/>
                <w:sz w:val="20"/>
              </w:rPr>
              <w:t xml:space="preserve">health claims have been </w:t>
            </w:r>
            <w:r w:rsidR="00B621F2" w:rsidRPr="00E244A2">
              <w:rPr>
                <w:sz w:val="20"/>
                <w:lang w:eastAsia="en-GB"/>
              </w:rPr>
              <w:t>based on assessment findings by FSANZ (SD1) and EFSA as the evidence base for amending the current claim permission for electrolyte drinks</w:t>
            </w:r>
            <w:r w:rsidR="00903A0D" w:rsidRPr="00E244A2">
              <w:rPr>
                <w:sz w:val="20"/>
                <w:lang w:eastAsia="en-GB"/>
              </w:rPr>
              <w:t>. The evidence for the</w:t>
            </w:r>
            <w:r w:rsidRPr="00E244A2">
              <w:rPr>
                <w:color w:val="000000"/>
                <w:sz w:val="20"/>
              </w:rPr>
              <w:t xml:space="preserve"> two EU claims for carbohydrate electrolyte solutions </w:t>
            </w:r>
            <w:r w:rsidR="00903A0D" w:rsidRPr="00E244A2">
              <w:rPr>
                <w:color w:val="000000"/>
                <w:sz w:val="20"/>
              </w:rPr>
              <w:t>relate to</w:t>
            </w:r>
            <w:r w:rsidRPr="00E244A2">
              <w:rPr>
                <w:color w:val="000000"/>
                <w:sz w:val="20"/>
              </w:rPr>
              <w:t xml:space="preserve"> absorption of water and maintenance of endurance performance. </w:t>
            </w:r>
          </w:p>
          <w:p w14:paraId="7A107E55" w14:textId="33403B86" w:rsidR="00F357A0" w:rsidRPr="00E244A2" w:rsidRDefault="00543040"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color w:val="000000"/>
                <w:sz w:val="20"/>
              </w:rPr>
              <w:t xml:space="preserve">FSANZ’s assessment compared the effect of consuming electrolyte drinks with different carbohydrate content during and after exercise on rehydration and performance. </w:t>
            </w:r>
            <w:r w:rsidR="00B25D22" w:rsidRPr="00E244A2">
              <w:rPr>
                <w:color w:val="000000"/>
                <w:sz w:val="20"/>
              </w:rPr>
              <w:t xml:space="preserve">The </w:t>
            </w:r>
            <w:r w:rsidRPr="00E244A2">
              <w:rPr>
                <w:color w:val="000000"/>
                <w:sz w:val="20"/>
              </w:rPr>
              <w:t xml:space="preserve">effects of energy on performance were not included in the assessment. </w:t>
            </w:r>
          </w:p>
        </w:tc>
      </w:tr>
      <w:tr w:rsidR="003B56CF" w14:paraId="24C45F11" w14:textId="77777777" w:rsidTr="00D927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5" w:type="pct"/>
            <w:tcBorders>
              <w:right w:val="single" w:sz="4" w:space="0" w:color="auto"/>
            </w:tcBorders>
            <w:shd w:val="clear" w:color="auto" w:fill="auto"/>
          </w:tcPr>
          <w:p w14:paraId="0BE8263C" w14:textId="74F88FD5" w:rsidR="003B56CF" w:rsidRPr="00E244A2" w:rsidRDefault="00086A38" w:rsidP="002B7876">
            <w:pPr>
              <w:pStyle w:val="FSCtblMain"/>
              <w:tabs>
                <w:tab w:val="clear" w:pos="3969"/>
                <w:tab w:val="right" w:pos="1944"/>
              </w:tabs>
              <w:spacing w:before="29" w:after="29"/>
              <w:rPr>
                <w:i/>
                <w:sz w:val="20"/>
              </w:rPr>
            </w:pPr>
            <w:r w:rsidRPr="00E244A2">
              <w:rPr>
                <w:i/>
                <w:sz w:val="20"/>
              </w:rPr>
              <w:lastRenderedPageBreak/>
              <w:t>Evidence for pre-approved health claims</w:t>
            </w:r>
          </w:p>
          <w:p w14:paraId="640F9407" w14:textId="77777777" w:rsidR="003B56CF" w:rsidRPr="00E244A2" w:rsidRDefault="003B56CF" w:rsidP="002B7876">
            <w:pPr>
              <w:pStyle w:val="FSCtblMain"/>
              <w:tabs>
                <w:tab w:val="clear" w:pos="3969"/>
                <w:tab w:val="right" w:pos="1944"/>
              </w:tabs>
              <w:spacing w:before="29" w:after="29"/>
              <w:rPr>
                <w:sz w:val="20"/>
              </w:rPr>
            </w:pPr>
            <w:r w:rsidRPr="00E244A2">
              <w:rPr>
                <w:b w:val="0"/>
                <w:sz w:val="20"/>
              </w:rPr>
              <w:t xml:space="preserve">Evidence supporting the pre-approved claims is not deemed equivalent to that requirements of Schedule 6 for self-substantiated claims. </w:t>
            </w:r>
          </w:p>
          <w:p w14:paraId="68AB90D6" w14:textId="262E3023" w:rsidR="003B56CF" w:rsidRPr="00E244A2" w:rsidRDefault="003B56CF" w:rsidP="002B7876">
            <w:pPr>
              <w:pStyle w:val="FSCtblMain"/>
              <w:tabs>
                <w:tab w:val="clear" w:pos="3969"/>
                <w:tab w:val="right" w:pos="1944"/>
              </w:tabs>
              <w:spacing w:before="29" w:after="29"/>
              <w:rPr>
                <w:i/>
                <w:color w:val="000000"/>
                <w:sz w:val="20"/>
              </w:rPr>
            </w:pPr>
            <w:r w:rsidRPr="00E244A2">
              <w:rPr>
                <w:rFonts w:eastAsia="Calibri"/>
                <w:b w:val="0"/>
                <w:sz w:val="20"/>
              </w:rPr>
              <w:t xml:space="preserve">Acknowledge this is a rapidly evolving area of scientific research and note the evidence from EFSA is already 10 years old and may be therefore outdated.  </w:t>
            </w:r>
          </w:p>
        </w:tc>
        <w:tc>
          <w:tcPr>
            <w:tcW w:w="1539" w:type="pct"/>
            <w:tcBorders>
              <w:left w:val="single" w:sz="4" w:space="0" w:color="auto"/>
              <w:right w:val="single" w:sz="4" w:space="0" w:color="auto"/>
            </w:tcBorders>
            <w:shd w:val="clear" w:color="auto" w:fill="auto"/>
          </w:tcPr>
          <w:p w14:paraId="5AC7FC7B" w14:textId="77777777" w:rsidR="00A21BEB" w:rsidRPr="00E244A2" w:rsidRDefault="00A21BEB"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New Zealand Food Safety</w:t>
            </w:r>
          </w:p>
          <w:p w14:paraId="18E05BA7" w14:textId="690AC3AC" w:rsidR="003B56CF" w:rsidRPr="00E244A2" w:rsidRDefault="00A21BEB"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Department of Health Tasmania</w:t>
            </w:r>
          </w:p>
        </w:tc>
        <w:tc>
          <w:tcPr>
            <w:tcW w:w="1796" w:type="pct"/>
            <w:tcBorders>
              <w:left w:val="single" w:sz="4" w:space="0" w:color="auto"/>
            </w:tcBorders>
            <w:shd w:val="clear" w:color="auto" w:fill="auto"/>
          </w:tcPr>
          <w:p w14:paraId="76010030" w14:textId="1A906F15" w:rsidR="003B56CF" w:rsidRDefault="006F6430" w:rsidP="00753D4A">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Both sources of evidence reviewed by FSANZ and by EFSA were considered by FSANZ before proposing amendment of the current claim permission</w:t>
            </w:r>
            <w:r w:rsidR="00BA3882" w:rsidRPr="00E244A2">
              <w:rPr>
                <w:color w:val="000000"/>
                <w:sz w:val="20"/>
              </w:rPr>
              <w:t>. Both reviews considered</w:t>
            </w:r>
            <w:r w:rsidRPr="00E244A2">
              <w:rPr>
                <w:color w:val="000000"/>
                <w:sz w:val="20"/>
              </w:rPr>
              <w:t xml:space="preserve"> the relationships between consumption of electrolyte drinks and hydration/water absorption, and electrolyte drinks and physical performance. </w:t>
            </w:r>
            <w:r w:rsidR="0059665B" w:rsidRPr="00E244A2" w:rsidDel="00CE604A">
              <w:rPr>
                <w:color w:val="000000"/>
                <w:sz w:val="20"/>
              </w:rPr>
              <w:t xml:space="preserve">For further </w:t>
            </w:r>
            <w:r w:rsidR="009B4173" w:rsidRPr="00E244A2" w:rsidDel="00CE604A">
              <w:rPr>
                <w:color w:val="000000"/>
                <w:sz w:val="20"/>
              </w:rPr>
              <w:t>discussion of this issue</w:t>
            </w:r>
            <w:r w:rsidR="0059665B" w:rsidRPr="00E244A2" w:rsidDel="00CE604A">
              <w:rPr>
                <w:color w:val="000000"/>
                <w:sz w:val="20"/>
              </w:rPr>
              <w:t xml:space="preserve"> refer </w:t>
            </w:r>
            <w:r w:rsidR="00B10C37" w:rsidRPr="00E244A2">
              <w:rPr>
                <w:color w:val="000000"/>
                <w:sz w:val="20"/>
              </w:rPr>
              <w:t xml:space="preserve">to </w:t>
            </w:r>
            <w:r w:rsidR="004A53D3">
              <w:rPr>
                <w:color w:val="000000"/>
                <w:sz w:val="20"/>
              </w:rPr>
              <w:t>Section 2.4</w:t>
            </w:r>
            <w:r w:rsidR="0059665B" w:rsidRPr="00E244A2" w:rsidDel="00CE604A">
              <w:rPr>
                <w:color w:val="000000"/>
                <w:sz w:val="20"/>
              </w:rPr>
              <w:t>.5.4</w:t>
            </w:r>
            <w:r w:rsidR="00B10C37" w:rsidRPr="00E244A2">
              <w:rPr>
                <w:color w:val="000000"/>
                <w:sz w:val="20"/>
              </w:rPr>
              <w:t xml:space="preserve"> of this Report</w:t>
            </w:r>
            <w:r w:rsidR="009B4173" w:rsidRPr="00E244A2" w:rsidDel="00CE604A">
              <w:rPr>
                <w:color w:val="000000"/>
                <w:sz w:val="20"/>
              </w:rPr>
              <w:t>.</w:t>
            </w:r>
          </w:p>
          <w:p w14:paraId="7228DD72" w14:textId="28C0581C" w:rsidR="009E6468" w:rsidRPr="00E244A2" w:rsidRDefault="009E6468" w:rsidP="00753D4A">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p>
        </w:tc>
      </w:tr>
      <w:tr w:rsidR="00823E52" w14:paraId="3892269C" w14:textId="77777777" w:rsidTr="00D927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5" w:type="pct"/>
            <w:tcBorders>
              <w:bottom w:val="single" w:sz="4" w:space="0" w:color="auto"/>
              <w:right w:val="single" w:sz="4" w:space="0" w:color="auto"/>
            </w:tcBorders>
            <w:shd w:val="clear" w:color="auto" w:fill="auto"/>
          </w:tcPr>
          <w:p w14:paraId="2533F32A" w14:textId="0D4173AC" w:rsidR="00760884" w:rsidRPr="00E244A2" w:rsidRDefault="00086A38" w:rsidP="002B7876">
            <w:pPr>
              <w:pStyle w:val="FSCtblMain"/>
              <w:tabs>
                <w:tab w:val="clear" w:pos="3969"/>
                <w:tab w:val="right" w:pos="1944"/>
              </w:tabs>
              <w:spacing w:before="29" w:after="29"/>
              <w:rPr>
                <w:b w:val="0"/>
                <w:i/>
                <w:sz w:val="20"/>
              </w:rPr>
            </w:pPr>
            <w:r w:rsidRPr="00E244A2">
              <w:rPr>
                <w:i/>
                <w:sz w:val="20"/>
              </w:rPr>
              <w:t>Flexibility on wording of claims</w:t>
            </w:r>
          </w:p>
          <w:p w14:paraId="411A8D74" w14:textId="352A90FF" w:rsidR="00823E52" w:rsidRPr="00E244A2" w:rsidRDefault="00823E52" w:rsidP="002B7876">
            <w:pPr>
              <w:pStyle w:val="FSCtblMain"/>
              <w:tabs>
                <w:tab w:val="clear" w:pos="3969"/>
                <w:tab w:val="right" w:pos="1944"/>
              </w:tabs>
              <w:spacing w:before="29" w:after="29"/>
              <w:rPr>
                <w:i/>
                <w:sz w:val="20"/>
              </w:rPr>
            </w:pPr>
            <w:r w:rsidRPr="00E244A2">
              <w:rPr>
                <w:b w:val="0"/>
                <w:sz w:val="20"/>
              </w:rPr>
              <w:t>Proposed wording (reference to a time period of 60</w:t>
            </w:r>
            <w:r w:rsidR="005C0FD2" w:rsidRPr="00E244A2">
              <w:rPr>
                <w:b w:val="0"/>
                <w:sz w:val="20"/>
              </w:rPr>
              <w:t xml:space="preserve"> </w:t>
            </w:r>
            <w:r w:rsidRPr="00E244A2">
              <w:rPr>
                <w:b w:val="0"/>
                <w:sz w:val="20"/>
              </w:rPr>
              <w:t xml:space="preserve">minutes or more) is overly prescriptive. </w:t>
            </w:r>
          </w:p>
          <w:p w14:paraId="076710C9" w14:textId="77777777" w:rsidR="00823E52" w:rsidRDefault="00823E52" w:rsidP="002B7876">
            <w:pPr>
              <w:pStyle w:val="FSCtblMain"/>
              <w:tabs>
                <w:tab w:val="clear" w:pos="3969"/>
                <w:tab w:val="right" w:pos="1944"/>
              </w:tabs>
              <w:spacing w:before="29" w:after="29"/>
              <w:rPr>
                <w:b w:val="0"/>
                <w:sz w:val="20"/>
              </w:rPr>
            </w:pPr>
            <w:r w:rsidRPr="00E244A2">
              <w:rPr>
                <w:b w:val="0"/>
                <w:sz w:val="20"/>
              </w:rPr>
              <w:t xml:space="preserve">Industry is seeking greater flexibility and suggest this could be achieved by a reference to effects occurring under conditions of ‘sustained strenuous </w:t>
            </w:r>
            <w:r w:rsidR="009F681B" w:rsidRPr="00E244A2">
              <w:rPr>
                <w:b w:val="0"/>
                <w:sz w:val="20"/>
              </w:rPr>
              <w:t>physical activity</w:t>
            </w:r>
            <w:r w:rsidRPr="00E244A2">
              <w:rPr>
                <w:b w:val="0"/>
                <w:sz w:val="20"/>
              </w:rPr>
              <w:t>’.</w:t>
            </w:r>
          </w:p>
          <w:p w14:paraId="556CC489" w14:textId="1872CE75" w:rsidR="009E6468" w:rsidRPr="00E244A2" w:rsidRDefault="009E6468" w:rsidP="002B7876">
            <w:pPr>
              <w:pStyle w:val="FSCtblMain"/>
              <w:tabs>
                <w:tab w:val="clear" w:pos="3969"/>
                <w:tab w:val="right" w:pos="1944"/>
              </w:tabs>
              <w:spacing w:before="29" w:after="29"/>
              <w:rPr>
                <w:i/>
                <w:color w:val="000000"/>
                <w:sz w:val="20"/>
              </w:rPr>
            </w:pPr>
          </w:p>
        </w:tc>
        <w:tc>
          <w:tcPr>
            <w:tcW w:w="1539" w:type="pct"/>
            <w:tcBorders>
              <w:left w:val="single" w:sz="4" w:space="0" w:color="auto"/>
              <w:bottom w:val="single" w:sz="4" w:space="0" w:color="auto"/>
              <w:right w:val="single" w:sz="4" w:space="0" w:color="auto"/>
            </w:tcBorders>
            <w:shd w:val="clear" w:color="auto" w:fill="auto"/>
          </w:tcPr>
          <w:p w14:paraId="4B2A712E" w14:textId="77777777" w:rsidR="00823E52" w:rsidRPr="00E244A2" w:rsidRDefault="00823E52"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color w:val="000000"/>
                <w:sz w:val="20"/>
              </w:rPr>
              <w:t>Australian Beverages Council Limited</w:t>
            </w:r>
          </w:p>
          <w:p w14:paraId="3644D538" w14:textId="17AB6C71" w:rsidR="00823E52" w:rsidRPr="00E244A2" w:rsidRDefault="00823E52"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color w:val="000000"/>
                <w:sz w:val="20"/>
              </w:rPr>
              <w:t>Australia Food &amp; Grocery Council</w:t>
            </w:r>
          </w:p>
          <w:p w14:paraId="09B48CAE" w14:textId="77777777" w:rsidR="00823E52" w:rsidRPr="00E244A2" w:rsidRDefault="00823E52"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r w:rsidRPr="00E244A2">
              <w:rPr>
                <w:sz w:val="20"/>
              </w:rPr>
              <w:t>New Zealand Beverages Council</w:t>
            </w:r>
          </w:p>
          <w:p w14:paraId="6E859FB0" w14:textId="77777777" w:rsidR="00823E52" w:rsidRPr="00E244A2" w:rsidRDefault="00823E52"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color w:val="000000"/>
                <w:sz w:val="20"/>
              </w:rPr>
              <w:t xml:space="preserve">New Zealand Food &amp; Grocery Council </w:t>
            </w:r>
          </w:p>
          <w:p w14:paraId="053499D0" w14:textId="016CEF71" w:rsidR="00823E52" w:rsidRPr="00E244A2" w:rsidRDefault="00823E52"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p>
        </w:tc>
        <w:tc>
          <w:tcPr>
            <w:tcW w:w="1796" w:type="pct"/>
            <w:tcBorders>
              <w:left w:val="single" w:sz="4" w:space="0" w:color="auto"/>
              <w:bottom w:val="single" w:sz="4" w:space="0" w:color="auto"/>
            </w:tcBorders>
            <w:shd w:val="clear" w:color="auto" w:fill="auto"/>
          </w:tcPr>
          <w:p w14:paraId="4DFD81D3" w14:textId="5AA7FD5A" w:rsidR="00823E52" w:rsidRPr="00E244A2" w:rsidRDefault="00823E52"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r w:rsidRPr="00E244A2">
              <w:rPr>
                <w:sz w:val="20"/>
              </w:rPr>
              <w:t xml:space="preserve">FSANZ has included a quantified </w:t>
            </w:r>
            <w:r w:rsidR="004365CF" w:rsidRPr="00E244A2">
              <w:rPr>
                <w:sz w:val="20"/>
              </w:rPr>
              <w:t>time</w:t>
            </w:r>
            <w:r w:rsidRPr="00E244A2">
              <w:rPr>
                <w:sz w:val="20"/>
              </w:rPr>
              <w:t xml:space="preserve"> to describe </w:t>
            </w:r>
            <w:r w:rsidR="00994A90" w:rsidRPr="00E244A2">
              <w:rPr>
                <w:sz w:val="20"/>
              </w:rPr>
              <w:t xml:space="preserve">the minimum time for strenuous activity to provide guidance on the appropriate </w:t>
            </w:r>
            <w:r w:rsidR="004365CF" w:rsidRPr="00E244A2">
              <w:rPr>
                <w:sz w:val="20"/>
              </w:rPr>
              <w:t xml:space="preserve">use of electrolyte drinks. </w:t>
            </w:r>
            <w:r w:rsidRPr="00E244A2">
              <w:rPr>
                <w:sz w:val="20"/>
              </w:rPr>
              <w:t>The time period of 60 minutes is based on scientific evidence reviewed by FSANZ and EFSA.</w:t>
            </w:r>
            <w:r w:rsidRPr="00E244A2">
              <w:rPr>
                <w:color w:val="000000"/>
                <w:sz w:val="20"/>
              </w:rPr>
              <w:t xml:space="preserve"> </w:t>
            </w:r>
          </w:p>
          <w:p w14:paraId="116A5D83" w14:textId="77777777" w:rsidR="00823E52" w:rsidRPr="00E244A2" w:rsidRDefault="00823E52"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p>
        </w:tc>
      </w:tr>
      <w:tr w:rsidR="00356DE1" w14:paraId="2B5BD44A" w14:textId="77777777" w:rsidTr="00D927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5" w:type="pct"/>
            <w:tcBorders>
              <w:right w:val="single" w:sz="4" w:space="0" w:color="auto"/>
            </w:tcBorders>
            <w:shd w:val="clear" w:color="auto" w:fill="auto"/>
          </w:tcPr>
          <w:p w14:paraId="1FC4F372" w14:textId="4BFC8666" w:rsidR="00760884" w:rsidRPr="00E244A2" w:rsidRDefault="00760884" w:rsidP="002B7876">
            <w:pPr>
              <w:pStyle w:val="FSCtblMain"/>
              <w:tabs>
                <w:tab w:val="clear" w:pos="3969"/>
                <w:tab w:val="right" w:pos="1944"/>
              </w:tabs>
              <w:spacing w:before="29" w:after="29"/>
              <w:rPr>
                <w:b w:val="0"/>
                <w:i/>
                <w:sz w:val="20"/>
              </w:rPr>
            </w:pPr>
            <w:r w:rsidRPr="00E244A2">
              <w:rPr>
                <w:i/>
                <w:sz w:val="20"/>
              </w:rPr>
              <w:t>Claim conditions</w:t>
            </w:r>
          </w:p>
          <w:p w14:paraId="04B4A633" w14:textId="46C8C89C" w:rsidR="00356DE1" w:rsidRPr="00E244A2" w:rsidRDefault="00356DE1" w:rsidP="002B7876">
            <w:pPr>
              <w:pStyle w:val="FSCtblMain"/>
              <w:tabs>
                <w:tab w:val="clear" w:pos="3969"/>
                <w:tab w:val="right" w:pos="1944"/>
              </w:tabs>
              <w:spacing w:before="29" w:after="29"/>
              <w:rPr>
                <w:b w:val="0"/>
                <w:sz w:val="20"/>
              </w:rPr>
            </w:pPr>
            <w:r w:rsidRPr="00E244A2">
              <w:rPr>
                <w:b w:val="0"/>
                <w:sz w:val="20"/>
              </w:rPr>
              <w:t>The term ‘strenuous’ should be replaced by ‘vigorous’ to align with the Australian physical activity guidelines.</w:t>
            </w:r>
          </w:p>
          <w:p w14:paraId="21589FA3" w14:textId="701207A7" w:rsidR="00356DE1" w:rsidRPr="00E244A2" w:rsidRDefault="00356DE1" w:rsidP="002B7876">
            <w:pPr>
              <w:pStyle w:val="FSCtblMain"/>
              <w:tabs>
                <w:tab w:val="clear" w:pos="3969"/>
                <w:tab w:val="right" w:pos="1944"/>
              </w:tabs>
              <w:spacing w:before="29" w:after="29"/>
              <w:rPr>
                <w:b w:val="0"/>
                <w:sz w:val="20"/>
              </w:rPr>
            </w:pPr>
            <w:r w:rsidRPr="00E244A2">
              <w:rPr>
                <w:b w:val="0"/>
                <w:sz w:val="20"/>
              </w:rPr>
              <w:t xml:space="preserve">Suggest the term ‘prolonged’ should be included </w:t>
            </w:r>
            <w:r w:rsidR="005C0FD2" w:rsidRPr="00E244A2">
              <w:rPr>
                <w:b w:val="0"/>
                <w:sz w:val="20"/>
              </w:rPr>
              <w:t>immediately before ‘strenuous physical activity</w:t>
            </w:r>
            <w:r w:rsidRPr="00E244A2">
              <w:rPr>
                <w:b w:val="0"/>
                <w:sz w:val="20"/>
              </w:rPr>
              <w:t>’.</w:t>
            </w:r>
          </w:p>
          <w:p w14:paraId="5FF0F107" w14:textId="667E6E1B" w:rsidR="00356DE1" w:rsidRPr="00E244A2" w:rsidRDefault="00356DE1" w:rsidP="002B7876">
            <w:pPr>
              <w:pStyle w:val="FSCtblMain"/>
              <w:tabs>
                <w:tab w:val="clear" w:pos="3969"/>
                <w:tab w:val="right" w:pos="1944"/>
              </w:tabs>
              <w:spacing w:before="29" w:after="29"/>
              <w:rPr>
                <w:b w:val="0"/>
                <w:sz w:val="20"/>
              </w:rPr>
            </w:pPr>
            <w:r w:rsidRPr="00E244A2">
              <w:rPr>
                <w:b w:val="0"/>
                <w:sz w:val="20"/>
              </w:rPr>
              <w:t>Including ‘immediately after’ in reference to ‘60 minutes o</w:t>
            </w:r>
            <w:r w:rsidR="005C0FD2" w:rsidRPr="00E244A2">
              <w:rPr>
                <w:b w:val="0"/>
                <w:sz w:val="20"/>
              </w:rPr>
              <w:t>r more of sustained strenuous physical activity</w:t>
            </w:r>
            <w:r w:rsidRPr="00E244A2">
              <w:rPr>
                <w:b w:val="0"/>
                <w:sz w:val="20"/>
              </w:rPr>
              <w:t xml:space="preserve">’ would provide further clarification. </w:t>
            </w:r>
          </w:p>
          <w:p w14:paraId="7AD4FF7D" w14:textId="77777777" w:rsidR="00356DE1" w:rsidRDefault="00356DE1" w:rsidP="002B7876">
            <w:pPr>
              <w:pStyle w:val="FSCtblMain"/>
              <w:tabs>
                <w:tab w:val="clear" w:pos="3969"/>
                <w:tab w:val="right" w:pos="1944"/>
              </w:tabs>
              <w:spacing w:before="29" w:after="29"/>
              <w:rPr>
                <w:b w:val="0"/>
                <w:sz w:val="20"/>
              </w:rPr>
            </w:pPr>
            <w:r w:rsidRPr="00E244A2">
              <w:rPr>
                <w:b w:val="0"/>
                <w:sz w:val="20"/>
              </w:rPr>
              <w:t>Health claim qualifiers need to be clearly visible and understandable to consumers to ensure they are not misinterpreted to apply to hydration in general nor to imply the product is healthy or beneficial for all consumers.</w:t>
            </w:r>
          </w:p>
          <w:p w14:paraId="5FF391A4" w14:textId="58B03458" w:rsidR="009E6468" w:rsidRPr="00E244A2" w:rsidRDefault="009E6468" w:rsidP="002B7876">
            <w:pPr>
              <w:pStyle w:val="FSCtblMain"/>
              <w:tabs>
                <w:tab w:val="clear" w:pos="3969"/>
                <w:tab w:val="right" w:pos="1944"/>
              </w:tabs>
              <w:spacing w:before="29" w:after="29"/>
              <w:rPr>
                <w:i/>
                <w:sz w:val="20"/>
              </w:rPr>
            </w:pPr>
          </w:p>
        </w:tc>
        <w:tc>
          <w:tcPr>
            <w:tcW w:w="1539" w:type="pct"/>
            <w:tcBorders>
              <w:left w:val="single" w:sz="4" w:space="0" w:color="auto"/>
              <w:right w:val="single" w:sz="4" w:space="0" w:color="auto"/>
            </w:tcBorders>
            <w:shd w:val="clear" w:color="auto" w:fill="auto"/>
          </w:tcPr>
          <w:p w14:paraId="620F377E" w14:textId="7D028114" w:rsidR="00356DE1" w:rsidRPr="00E244A2" w:rsidRDefault="00B124A0"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Cancer Council of Australia</w:t>
            </w:r>
          </w:p>
          <w:p w14:paraId="184DED09" w14:textId="05D9C5FC" w:rsidR="001C7B00" w:rsidRPr="00E244A2" w:rsidRDefault="00B124A0"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Dietitians Australia</w:t>
            </w:r>
            <w:r w:rsidR="00356DE1" w:rsidRPr="00E244A2">
              <w:rPr>
                <w:color w:val="000000"/>
                <w:sz w:val="20"/>
              </w:rPr>
              <w:t xml:space="preserve"> </w:t>
            </w:r>
          </w:p>
          <w:p w14:paraId="23426B6E" w14:textId="142631B7" w:rsidR="00B124A0" w:rsidRPr="00E244A2" w:rsidRDefault="00B124A0"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Sports Dietitians Association</w:t>
            </w:r>
          </w:p>
          <w:p w14:paraId="1E273013" w14:textId="52D2E75A" w:rsidR="00356DE1" w:rsidRPr="00E244A2" w:rsidRDefault="001C7B00"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Australian Medical Association</w:t>
            </w:r>
          </w:p>
        </w:tc>
        <w:tc>
          <w:tcPr>
            <w:tcW w:w="1796" w:type="pct"/>
            <w:tcBorders>
              <w:left w:val="single" w:sz="4" w:space="0" w:color="auto"/>
            </w:tcBorders>
            <w:shd w:val="clear" w:color="auto" w:fill="auto"/>
          </w:tcPr>
          <w:p w14:paraId="0EAEE6FE" w14:textId="2BD7D66B" w:rsidR="00753D4A" w:rsidRPr="00E244A2" w:rsidRDefault="00356DE1"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sz w:val="20"/>
              </w:rPr>
            </w:pPr>
            <w:r w:rsidRPr="00E244A2">
              <w:rPr>
                <w:sz w:val="20"/>
              </w:rPr>
              <w:t>Reference to 60 minutes or more of strenuous activity is consistent with FSANZ’s assessment</w:t>
            </w:r>
            <w:r w:rsidR="00805E2A" w:rsidRPr="00E244A2">
              <w:rPr>
                <w:sz w:val="20"/>
              </w:rPr>
              <w:t>. I</w:t>
            </w:r>
            <w:r w:rsidR="00197BD7" w:rsidRPr="00E244A2">
              <w:rPr>
                <w:sz w:val="20"/>
              </w:rPr>
              <w:t>nclusion in the</w:t>
            </w:r>
            <w:r w:rsidR="00D7451E" w:rsidRPr="00E244A2">
              <w:rPr>
                <w:sz w:val="20"/>
              </w:rPr>
              <w:t xml:space="preserve"> permitted health</w:t>
            </w:r>
            <w:r w:rsidR="00197BD7" w:rsidRPr="00E244A2">
              <w:rPr>
                <w:sz w:val="20"/>
              </w:rPr>
              <w:t xml:space="preserve"> claim makes clear to consumers </w:t>
            </w:r>
            <w:r w:rsidR="00D7451E" w:rsidRPr="00E244A2">
              <w:rPr>
                <w:rFonts w:eastAsia="Calibri"/>
                <w:sz w:val="20"/>
              </w:rPr>
              <w:t>that hydration benefits only apply for those undertaking strenuous physical activity of at least 60 minutes in duration</w:t>
            </w:r>
            <w:r w:rsidRPr="00E244A2">
              <w:rPr>
                <w:sz w:val="20"/>
              </w:rPr>
              <w:t>.</w:t>
            </w:r>
          </w:p>
          <w:p w14:paraId="606C072B" w14:textId="69BF073D" w:rsidR="00356DE1" w:rsidRPr="00E244A2" w:rsidRDefault="001717D2"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sz w:val="20"/>
              </w:rPr>
              <w:t>Consistent with the existing provisions relating to the existing health claim in Standard 2.6.2</w:t>
            </w:r>
            <w:r w:rsidR="008F17CC" w:rsidRPr="00E244A2">
              <w:rPr>
                <w:sz w:val="20"/>
              </w:rPr>
              <w:t>,</w:t>
            </w:r>
            <w:r w:rsidRPr="00E244A2">
              <w:rPr>
                <w:sz w:val="20"/>
              </w:rPr>
              <w:t xml:space="preserve"> the wording that must be used when making a health claim based on the three approved health claims</w:t>
            </w:r>
            <w:r w:rsidR="0062383F" w:rsidRPr="00E244A2">
              <w:rPr>
                <w:sz w:val="20"/>
              </w:rPr>
              <w:t xml:space="preserve"> is not prescribed</w:t>
            </w:r>
            <w:r w:rsidRPr="00E244A2">
              <w:rPr>
                <w:sz w:val="20"/>
              </w:rPr>
              <w:t>.</w:t>
            </w:r>
          </w:p>
        </w:tc>
      </w:tr>
      <w:tr w:rsidR="006C1A71" w14:paraId="640D103D" w14:textId="77777777" w:rsidTr="00D927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5" w:type="pct"/>
            <w:tcBorders>
              <w:right w:val="single" w:sz="4" w:space="0" w:color="auto"/>
            </w:tcBorders>
            <w:shd w:val="clear" w:color="auto" w:fill="auto"/>
          </w:tcPr>
          <w:p w14:paraId="230CE20E" w14:textId="3AB140B3" w:rsidR="00B04E16" w:rsidRPr="004E1671" w:rsidRDefault="00B50B04" w:rsidP="002B7876">
            <w:pPr>
              <w:pStyle w:val="FSCtblMain"/>
              <w:tabs>
                <w:tab w:val="clear" w:pos="3969"/>
                <w:tab w:val="right" w:pos="1944"/>
              </w:tabs>
              <w:spacing w:before="29" w:after="29"/>
              <w:rPr>
                <w:i/>
                <w:sz w:val="20"/>
              </w:rPr>
            </w:pPr>
            <w:r>
              <w:rPr>
                <w:i/>
                <w:sz w:val="20"/>
              </w:rPr>
              <w:lastRenderedPageBreak/>
              <w:t>P</w:t>
            </w:r>
            <w:r w:rsidR="00B04E16" w:rsidRPr="00B04E16">
              <w:rPr>
                <w:i/>
                <w:sz w:val="20"/>
              </w:rPr>
              <w:t>erformance claim</w:t>
            </w:r>
          </w:p>
          <w:p w14:paraId="2AEABB07" w14:textId="14F29D74" w:rsidR="006C1A71" w:rsidRPr="004E1671" w:rsidRDefault="006C1A71" w:rsidP="002B7876">
            <w:pPr>
              <w:pStyle w:val="FSCtblMain"/>
              <w:tabs>
                <w:tab w:val="clear" w:pos="3969"/>
                <w:tab w:val="right" w:pos="1944"/>
              </w:tabs>
              <w:spacing w:before="29" w:after="29"/>
              <w:rPr>
                <w:b w:val="0"/>
                <w:sz w:val="20"/>
              </w:rPr>
            </w:pPr>
            <w:r w:rsidRPr="008C4A6C">
              <w:rPr>
                <w:b w:val="0"/>
                <w:sz w:val="20"/>
              </w:rPr>
              <w:t>The ‘hydration to maintain performance’ claim is</w:t>
            </w:r>
            <w:r w:rsidR="00AC6F1D">
              <w:rPr>
                <w:b w:val="0"/>
                <w:sz w:val="20"/>
              </w:rPr>
              <w:t xml:space="preserve"> not</w:t>
            </w:r>
            <w:r w:rsidRPr="008C4A6C">
              <w:rPr>
                <w:b w:val="0"/>
                <w:sz w:val="20"/>
              </w:rPr>
              <w:t xml:space="preserve"> specific enough to meet</w:t>
            </w:r>
            <w:r w:rsidR="00006CA8">
              <w:rPr>
                <w:b w:val="0"/>
                <w:sz w:val="20"/>
              </w:rPr>
              <w:t xml:space="preserve"> the</w:t>
            </w:r>
            <w:r w:rsidRPr="008C4A6C">
              <w:rPr>
                <w:b w:val="0"/>
                <w:sz w:val="20"/>
              </w:rPr>
              <w:t xml:space="preserve"> Ministerial Policy Guideline on Nutrition, Health and Related Claims, which states that ‘claims must communicate a specific benefit’ (e.g. improves recovery from exercise rather than improves sports performance)’.</w:t>
            </w:r>
          </w:p>
        </w:tc>
        <w:tc>
          <w:tcPr>
            <w:tcW w:w="1539" w:type="pct"/>
            <w:tcBorders>
              <w:left w:val="single" w:sz="4" w:space="0" w:color="auto"/>
              <w:right w:val="single" w:sz="4" w:space="0" w:color="auto"/>
            </w:tcBorders>
            <w:shd w:val="clear" w:color="auto" w:fill="auto"/>
          </w:tcPr>
          <w:p w14:paraId="7DBD5C11" w14:textId="77777777" w:rsidR="00E01343" w:rsidRPr="00E244A2" w:rsidRDefault="00E01343" w:rsidP="00E01343">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color w:val="000000"/>
                <w:sz w:val="20"/>
              </w:rPr>
              <w:t>Tasmanian Department of Health</w:t>
            </w:r>
          </w:p>
          <w:p w14:paraId="0A15D469" w14:textId="6481F933" w:rsidR="006C1A71" w:rsidRPr="00E244A2" w:rsidRDefault="00E01343" w:rsidP="00E01343">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sz w:val="20"/>
              </w:rPr>
              <w:t>Victorian Department of Health</w:t>
            </w:r>
          </w:p>
        </w:tc>
        <w:tc>
          <w:tcPr>
            <w:tcW w:w="1796" w:type="pct"/>
            <w:tcBorders>
              <w:left w:val="single" w:sz="4" w:space="0" w:color="auto"/>
            </w:tcBorders>
            <w:shd w:val="clear" w:color="auto" w:fill="auto"/>
          </w:tcPr>
          <w:p w14:paraId="3108A1B3" w14:textId="06D59866" w:rsidR="00521673" w:rsidRDefault="006F250E"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r>
              <w:rPr>
                <w:sz w:val="20"/>
              </w:rPr>
              <w:t xml:space="preserve">All three pre-approved claims relate to rapid hydration or re-hydration </w:t>
            </w:r>
            <w:r w:rsidR="00D30EE2">
              <w:rPr>
                <w:sz w:val="20"/>
              </w:rPr>
              <w:t xml:space="preserve">as the specific </w:t>
            </w:r>
            <w:r>
              <w:rPr>
                <w:sz w:val="20"/>
              </w:rPr>
              <w:t xml:space="preserve">health effect. </w:t>
            </w:r>
            <w:r w:rsidR="004F2F5A">
              <w:rPr>
                <w:sz w:val="20"/>
              </w:rPr>
              <w:t xml:space="preserve">FSANZ notes </w:t>
            </w:r>
            <w:r w:rsidR="00521673">
              <w:rPr>
                <w:sz w:val="20"/>
              </w:rPr>
              <w:t>the construct of the preapproved claim:</w:t>
            </w:r>
          </w:p>
          <w:p w14:paraId="6DECAB5A" w14:textId="500FE2DA" w:rsidR="00521673" w:rsidRDefault="00521673" w:rsidP="00521673">
            <w:pPr>
              <w:pStyle w:val="FSBullet1"/>
              <w:numPr>
                <w:ilvl w:val="0"/>
                <w:numId w:val="0"/>
              </w:numPr>
              <w:ind w:left="567"/>
              <w:cnfStyle w:val="000000100000" w:firstRow="0" w:lastRow="0" w:firstColumn="0" w:lastColumn="0" w:oddVBand="0" w:evenVBand="0" w:oddHBand="1" w:evenHBand="0" w:firstRowFirstColumn="0" w:firstRowLastColumn="0" w:lastRowFirstColumn="0" w:lastRowLastColumn="0"/>
              <w:rPr>
                <w:rFonts w:cs="Times New Roman"/>
                <w:sz w:val="20"/>
                <w:szCs w:val="20"/>
                <w:lang w:eastAsia="en-AU" w:bidi="en-US"/>
              </w:rPr>
            </w:pPr>
            <w:r w:rsidRPr="004F2F5A">
              <w:rPr>
                <w:sz w:val="20"/>
                <w:szCs w:val="20"/>
                <w:lang w:eastAsia="en-AU"/>
              </w:rPr>
              <w:t>Contribution</w:t>
            </w:r>
            <w:r w:rsidR="00803450" w:rsidRPr="004F2F5A">
              <w:rPr>
                <w:sz w:val="20"/>
                <w:szCs w:val="20"/>
                <w:lang w:eastAsia="en-AU"/>
              </w:rPr>
              <w:t xml:space="preserve"> to </w:t>
            </w:r>
            <w:r w:rsidRPr="004F2F5A">
              <w:rPr>
                <w:sz w:val="20"/>
                <w:szCs w:val="20"/>
                <w:lang w:eastAsia="en-AU"/>
              </w:rPr>
              <w:t xml:space="preserve">the </w:t>
            </w:r>
            <w:r w:rsidR="00803450" w:rsidRPr="004F2F5A">
              <w:rPr>
                <w:sz w:val="20"/>
                <w:szCs w:val="20"/>
                <w:lang w:eastAsia="en-AU"/>
              </w:rPr>
              <w:t xml:space="preserve">maintenance of performance by rapid hydration </w:t>
            </w:r>
            <w:r w:rsidRPr="004F2F5A">
              <w:rPr>
                <w:sz w:val="20"/>
                <w:szCs w:val="20"/>
                <w:lang w:eastAsia="en-AU"/>
              </w:rPr>
              <w:t>in association with words to the effect of ‘</w:t>
            </w:r>
            <w:r w:rsidR="00803450" w:rsidRPr="004F2F5A">
              <w:rPr>
                <w:sz w:val="20"/>
                <w:szCs w:val="20"/>
                <w:lang w:eastAsia="en-AU"/>
              </w:rPr>
              <w:t xml:space="preserve">during </w:t>
            </w:r>
            <w:r w:rsidRPr="004F2F5A">
              <w:rPr>
                <w:sz w:val="20"/>
                <w:szCs w:val="20"/>
                <w:lang w:eastAsia="en-AU"/>
              </w:rPr>
              <w:t xml:space="preserve">at least </w:t>
            </w:r>
            <w:r w:rsidR="00803450" w:rsidRPr="004F2F5A">
              <w:rPr>
                <w:sz w:val="20"/>
                <w:szCs w:val="20"/>
                <w:lang w:eastAsia="en-AU"/>
              </w:rPr>
              <w:t xml:space="preserve">60 minutes or more of strenuous physical </w:t>
            </w:r>
            <w:r w:rsidRPr="004F2F5A">
              <w:rPr>
                <w:sz w:val="20"/>
                <w:szCs w:val="20"/>
                <w:lang w:eastAsia="en-AU"/>
              </w:rPr>
              <w:t>activity.</w:t>
            </w:r>
          </w:p>
          <w:p w14:paraId="4DE3325A" w14:textId="179CF2CD" w:rsidR="00D30EE2" w:rsidRDefault="00521673" w:rsidP="00521673">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r>
              <w:rPr>
                <w:sz w:val="20"/>
              </w:rPr>
              <w:t xml:space="preserve">is similar to other pre-approved claims </w:t>
            </w:r>
            <w:r w:rsidR="00D30EE2">
              <w:rPr>
                <w:sz w:val="20"/>
              </w:rPr>
              <w:t>included in Schedule 4 of the Code</w:t>
            </w:r>
            <w:r w:rsidR="004F2F5A">
              <w:rPr>
                <w:sz w:val="20"/>
              </w:rPr>
              <w:t xml:space="preserve">. </w:t>
            </w:r>
            <w:r w:rsidR="0017113C">
              <w:rPr>
                <w:sz w:val="20"/>
              </w:rPr>
              <w:t>That is ‘rapid hydration contributes to maintenance of performance’.</w:t>
            </w:r>
          </w:p>
          <w:p w14:paraId="028283F5" w14:textId="69C09FF3" w:rsidR="006C1A71" w:rsidRPr="00E01343" w:rsidRDefault="006C1A71"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p>
        </w:tc>
      </w:tr>
      <w:tr w:rsidR="00356DE1" w14:paraId="76E98A17" w14:textId="77777777" w:rsidTr="00D927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5" w:type="pct"/>
            <w:tcBorders>
              <w:right w:val="single" w:sz="4" w:space="0" w:color="auto"/>
            </w:tcBorders>
            <w:shd w:val="clear" w:color="auto" w:fill="auto"/>
          </w:tcPr>
          <w:p w14:paraId="7102465F" w14:textId="71E1CD3D" w:rsidR="00356DE1" w:rsidRPr="00E244A2" w:rsidRDefault="00086A38" w:rsidP="002B7876">
            <w:pPr>
              <w:pStyle w:val="FSCtblMain"/>
              <w:tabs>
                <w:tab w:val="clear" w:pos="3969"/>
                <w:tab w:val="right" w:pos="1944"/>
              </w:tabs>
              <w:spacing w:before="29" w:after="29"/>
              <w:rPr>
                <w:i/>
                <w:sz w:val="20"/>
              </w:rPr>
            </w:pPr>
            <w:r w:rsidRPr="00E244A2">
              <w:rPr>
                <w:i/>
                <w:sz w:val="20"/>
              </w:rPr>
              <w:t>Claim</w:t>
            </w:r>
            <w:r w:rsidR="000873B3" w:rsidRPr="00E244A2">
              <w:rPr>
                <w:i/>
                <w:sz w:val="20"/>
              </w:rPr>
              <w:t xml:space="preserve"> presentation</w:t>
            </w:r>
          </w:p>
          <w:p w14:paraId="492470E5" w14:textId="7F5292E2" w:rsidR="00356DE1" w:rsidRPr="00E244A2" w:rsidRDefault="00356DE1" w:rsidP="002B7876">
            <w:pPr>
              <w:pStyle w:val="FSCtblMain"/>
              <w:tabs>
                <w:tab w:val="clear" w:pos="3969"/>
                <w:tab w:val="right" w:pos="1944"/>
              </w:tabs>
              <w:spacing w:before="29" w:after="29"/>
              <w:rPr>
                <w:i/>
                <w:sz w:val="20"/>
              </w:rPr>
            </w:pPr>
            <w:r w:rsidRPr="00E244A2">
              <w:rPr>
                <w:b w:val="0"/>
                <w:sz w:val="20"/>
              </w:rPr>
              <w:t xml:space="preserve">Request flexibility on the requirement for claims to be placed elsewhere on the pack, within an advertisement, or the ability to split the claim across the packaging. </w:t>
            </w:r>
          </w:p>
        </w:tc>
        <w:tc>
          <w:tcPr>
            <w:tcW w:w="1539" w:type="pct"/>
            <w:tcBorders>
              <w:left w:val="single" w:sz="4" w:space="0" w:color="auto"/>
              <w:right w:val="single" w:sz="4" w:space="0" w:color="auto"/>
            </w:tcBorders>
            <w:shd w:val="clear" w:color="auto" w:fill="auto"/>
          </w:tcPr>
          <w:p w14:paraId="73C3C194" w14:textId="77777777" w:rsidR="00760884" w:rsidRPr="00E244A2" w:rsidRDefault="00760884"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Australia Food &amp; Grocery Council</w:t>
            </w:r>
          </w:p>
          <w:p w14:paraId="160BD856" w14:textId="63EC1A8F" w:rsidR="00356DE1" w:rsidRPr="00E244A2" w:rsidRDefault="00356DE1"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sz w:val="20"/>
              </w:rPr>
            </w:pPr>
          </w:p>
        </w:tc>
        <w:tc>
          <w:tcPr>
            <w:tcW w:w="1796" w:type="pct"/>
            <w:tcBorders>
              <w:left w:val="single" w:sz="4" w:space="0" w:color="auto"/>
            </w:tcBorders>
            <w:shd w:val="clear" w:color="auto" w:fill="auto"/>
          </w:tcPr>
          <w:p w14:paraId="28AE255F" w14:textId="77777777" w:rsidR="00356DE1" w:rsidRDefault="00356DE1"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sz w:val="20"/>
              </w:rPr>
            </w:pPr>
            <w:r w:rsidRPr="00E244A2">
              <w:rPr>
                <w:sz w:val="20"/>
              </w:rPr>
              <w:t>Standard 2.6.2 does not prescribe how the existing claim for electrolyte drinks is expressed. This allows for flexibility in presentation of this information. FSANZ is making no changes to the requirements for presentation of claims under Standard 2.6.2.</w:t>
            </w:r>
          </w:p>
          <w:p w14:paraId="5F77183B" w14:textId="538ECF28" w:rsidR="009E6468" w:rsidRPr="00E244A2" w:rsidRDefault="009E6468"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sz w:val="20"/>
              </w:rPr>
            </w:pPr>
          </w:p>
        </w:tc>
      </w:tr>
      <w:tr w:rsidR="00356DE1" w14:paraId="5131C656" w14:textId="77777777" w:rsidTr="00D927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5" w:type="pct"/>
            <w:tcBorders>
              <w:right w:val="single" w:sz="4" w:space="0" w:color="auto"/>
            </w:tcBorders>
            <w:shd w:val="clear" w:color="auto" w:fill="auto"/>
          </w:tcPr>
          <w:p w14:paraId="3979F8AF" w14:textId="2D790DA6" w:rsidR="00356DE1" w:rsidRPr="00E244A2" w:rsidRDefault="00EC14FD" w:rsidP="002B7876">
            <w:pPr>
              <w:pStyle w:val="FSCtblMain"/>
              <w:tabs>
                <w:tab w:val="clear" w:pos="3969"/>
                <w:tab w:val="right" w:pos="1944"/>
              </w:tabs>
              <w:spacing w:before="29" w:after="29"/>
              <w:rPr>
                <w:i/>
                <w:sz w:val="20"/>
              </w:rPr>
            </w:pPr>
            <w:r>
              <w:rPr>
                <w:i/>
                <w:sz w:val="20"/>
              </w:rPr>
              <w:t>Mandatory</w:t>
            </w:r>
            <w:r w:rsidRPr="00E244A2">
              <w:rPr>
                <w:i/>
                <w:sz w:val="20"/>
              </w:rPr>
              <w:t xml:space="preserve"> </w:t>
            </w:r>
            <w:r w:rsidR="00356DE1" w:rsidRPr="00E244A2">
              <w:rPr>
                <w:i/>
                <w:sz w:val="20"/>
              </w:rPr>
              <w:t>Statements</w:t>
            </w:r>
            <w:r w:rsidR="00356DE1" w:rsidRPr="00E244A2">
              <w:rPr>
                <w:b w:val="0"/>
                <w:i/>
                <w:sz w:val="20"/>
              </w:rPr>
              <w:t xml:space="preserve"> </w:t>
            </w:r>
          </w:p>
          <w:p w14:paraId="17462BB7" w14:textId="180D6163" w:rsidR="00356DE1" w:rsidRPr="00E244A2" w:rsidRDefault="00356DE1" w:rsidP="002B7876">
            <w:pPr>
              <w:pStyle w:val="FSCtblMain"/>
              <w:tabs>
                <w:tab w:val="clear" w:pos="3969"/>
                <w:tab w:val="right" w:pos="1944"/>
              </w:tabs>
              <w:spacing w:before="29" w:after="29"/>
              <w:rPr>
                <w:sz w:val="20"/>
              </w:rPr>
            </w:pPr>
            <w:r w:rsidRPr="00E244A2">
              <w:rPr>
                <w:b w:val="0"/>
                <w:sz w:val="20"/>
              </w:rPr>
              <w:t>Suggest information for intended use of electrolyte drinks should be presented as a mandatory statement</w:t>
            </w:r>
            <w:r w:rsidR="00753FBA">
              <w:rPr>
                <w:b w:val="0"/>
                <w:sz w:val="20"/>
              </w:rPr>
              <w:t>/advisory statement,</w:t>
            </w:r>
            <w:r w:rsidRPr="00E244A2">
              <w:rPr>
                <w:b w:val="0"/>
                <w:sz w:val="20"/>
              </w:rPr>
              <w:t xml:space="preserve"> not via a voluntary health claim. </w:t>
            </w:r>
          </w:p>
          <w:p w14:paraId="7A07D2A9" w14:textId="545DE2C3" w:rsidR="00356DE1" w:rsidRPr="00E244A2" w:rsidRDefault="00356DE1" w:rsidP="002B7876">
            <w:pPr>
              <w:pStyle w:val="FSCtblMain"/>
              <w:tabs>
                <w:tab w:val="clear" w:pos="3969"/>
                <w:tab w:val="right" w:pos="1944"/>
              </w:tabs>
              <w:spacing w:before="29" w:after="29"/>
              <w:rPr>
                <w:sz w:val="20"/>
              </w:rPr>
            </w:pPr>
            <w:r w:rsidRPr="00E244A2">
              <w:rPr>
                <w:b w:val="0"/>
                <w:sz w:val="20"/>
              </w:rPr>
              <w:t xml:space="preserve">The use of </w:t>
            </w:r>
            <w:r w:rsidR="00EC14FD">
              <w:rPr>
                <w:b w:val="0"/>
                <w:sz w:val="20"/>
              </w:rPr>
              <w:t>mandatory</w:t>
            </w:r>
            <w:r w:rsidR="00EC14FD" w:rsidRPr="00E244A2">
              <w:rPr>
                <w:b w:val="0"/>
                <w:sz w:val="20"/>
              </w:rPr>
              <w:t xml:space="preserve"> </w:t>
            </w:r>
            <w:r w:rsidRPr="00E244A2">
              <w:rPr>
                <w:b w:val="0"/>
                <w:sz w:val="20"/>
              </w:rPr>
              <w:t xml:space="preserve">statements would be consistent with sports foods and in line with the specialised purpose of electrolyte </w:t>
            </w:r>
            <w:r w:rsidR="00882F8F">
              <w:rPr>
                <w:b w:val="0"/>
                <w:sz w:val="20"/>
              </w:rPr>
              <w:t xml:space="preserve">drinks </w:t>
            </w:r>
            <w:r w:rsidRPr="00E244A2">
              <w:rPr>
                <w:b w:val="0"/>
                <w:sz w:val="20"/>
              </w:rPr>
              <w:t xml:space="preserve">and the risks they pose to consumers. </w:t>
            </w:r>
          </w:p>
          <w:p w14:paraId="0747F883" w14:textId="77777777" w:rsidR="00356DE1" w:rsidRDefault="00356DE1" w:rsidP="00753FBA">
            <w:pPr>
              <w:pStyle w:val="FSCtblMain"/>
              <w:tabs>
                <w:tab w:val="clear" w:pos="3969"/>
                <w:tab w:val="right" w:pos="1944"/>
              </w:tabs>
              <w:spacing w:before="29" w:after="29"/>
              <w:rPr>
                <w:b w:val="0"/>
                <w:sz w:val="20"/>
              </w:rPr>
            </w:pPr>
            <w:r w:rsidRPr="00E244A2">
              <w:rPr>
                <w:b w:val="0"/>
                <w:sz w:val="20"/>
              </w:rPr>
              <w:t xml:space="preserve">Note this approach </w:t>
            </w:r>
            <w:r w:rsidR="00753FBA">
              <w:rPr>
                <w:b w:val="0"/>
                <w:sz w:val="20"/>
              </w:rPr>
              <w:t xml:space="preserve">would </w:t>
            </w:r>
            <w:r w:rsidRPr="00E244A2">
              <w:rPr>
                <w:b w:val="0"/>
                <w:sz w:val="20"/>
              </w:rPr>
              <w:t xml:space="preserve">also </w:t>
            </w:r>
            <w:r w:rsidR="00753FBA">
              <w:rPr>
                <w:b w:val="0"/>
                <w:sz w:val="20"/>
              </w:rPr>
              <w:t xml:space="preserve">be </w:t>
            </w:r>
            <w:r w:rsidRPr="00E244A2">
              <w:rPr>
                <w:b w:val="0"/>
                <w:sz w:val="20"/>
              </w:rPr>
              <w:t>consistent with ministerial</w:t>
            </w:r>
            <w:r w:rsidR="00753FBA">
              <w:rPr>
                <w:b w:val="0"/>
                <w:sz w:val="20"/>
              </w:rPr>
              <w:t xml:space="preserve"> policy</w:t>
            </w:r>
            <w:r w:rsidRPr="00E244A2">
              <w:rPr>
                <w:b w:val="0"/>
                <w:sz w:val="20"/>
              </w:rPr>
              <w:t xml:space="preserve"> guidance for special purpose foods which states adequate information (including through labelling) should be provided to help prevent inappropriate use by those for whom the special purpose food is not intended.</w:t>
            </w:r>
          </w:p>
          <w:p w14:paraId="78637B74" w14:textId="615B513A" w:rsidR="009E6468" w:rsidRPr="00E244A2" w:rsidRDefault="009E6468" w:rsidP="00753FBA">
            <w:pPr>
              <w:pStyle w:val="FSCtblMain"/>
              <w:tabs>
                <w:tab w:val="clear" w:pos="3969"/>
                <w:tab w:val="right" w:pos="1944"/>
              </w:tabs>
              <w:spacing w:before="29" w:after="29"/>
              <w:rPr>
                <w:i/>
                <w:sz w:val="20"/>
              </w:rPr>
            </w:pPr>
          </w:p>
        </w:tc>
        <w:tc>
          <w:tcPr>
            <w:tcW w:w="1539" w:type="pct"/>
            <w:tcBorders>
              <w:left w:val="single" w:sz="4" w:space="0" w:color="auto"/>
              <w:right w:val="single" w:sz="4" w:space="0" w:color="auto"/>
            </w:tcBorders>
            <w:shd w:val="clear" w:color="auto" w:fill="auto"/>
          </w:tcPr>
          <w:p w14:paraId="25F77D80" w14:textId="77777777" w:rsidR="00E7570F" w:rsidRPr="00E244A2" w:rsidRDefault="00E7570F"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color w:val="000000"/>
                <w:sz w:val="20"/>
              </w:rPr>
              <w:t>Tasmanian Department of Health</w:t>
            </w:r>
          </w:p>
          <w:p w14:paraId="1B840EF3" w14:textId="1253A04B" w:rsidR="00356DE1" w:rsidRPr="00E244A2" w:rsidRDefault="00E7570F"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sz w:val="20"/>
              </w:rPr>
              <w:t>Victorian Department of Health</w:t>
            </w:r>
          </w:p>
        </w:tc>
        <w:tc>
          <w:tcPr>
            <w:tcW w:w="1796" w:type="pct"/>
            <w:tcBorders>
              <w:left w:val="single" w:sz="4" w:space="0" w:color="auto"/>
            </w:tcBorders>
            <w:shd w:val="clear" w:color="auto" w:fill="auto"/>
          </w:tcPr>
          <w:p w14:paraId="5EE0929F" w14:textId="7B92D388" w:rsidR="003002D1" w:rsidRDefault="003002D1" w:rsidP="008D6730">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r>
              <w:rPr>
                <w:sz w:val="20"/>
              </w:rPr>
              <w:t xml:space="preserve">FSANZ considers that including the intended use of electrolyte drinks as part of a health claim rather than as a </w:t>
            </w:r>
            <w:r w:rsidR="00A071C7">
              <w:rPr>
                <w:sz w:val="20"/>
              </w:rPr>
              <w:t>mandatory</w:t>
            </w:r>
            <w:r>
              <w:rPr>
                <w:sz w:val="20"/>
              </w:rPr>
              <w:t xml:space="preserve"> statement is </w:t>
            </w:r>
            <w:r w:rsidR="00436F46">
              <w:rPr>
                <w:sz w:val="20"/>
              </w:rPr>
              <w:t xml:space="preserve">the </w:t>
            </w:r>
            <w:r>
              <w:rPr>
                <w:sz w:val="20"/>
              </w:rPr>
              <w:t xml:space="preserve">appropriate </w:t>
            </w:r>
            <w:r w:rsidR="00436F46">
              <w:rPr>
                <w:sz w:val="20"/>
              </w:rPr>
              <w:t>level of risk management</w:t>
            </w:r>
            <w:r w:rsidR="00436F46" w:rsidRPr="00B84381">
              <w:rPr>
                <w:sz w:val="20"/>
              </w:rPr>
              <w:t xml:space="preserve"> for </w:t>
            </w:r>
            <w:r w:rsidR="00973DF6">
              <w:rPr>
                <w:sz w:val="20"/>
              </w:rPr>
              <w:t xml:space="preserve">addressing </w:t>
            </w:r>
            <w:r w:rsidR="00436F46" w:rsidRPr="00B84381">
              <w:rPr>
                <w:sz w:val="20"/>
              </w:rPr>
              <w:t xml:space="preserve">the </w:t>
            </w:r>
            <w:r w:rsidRPr="00B84381">
              <w:rPr>
                <w:sz w:val="20"/>
              </w:rPr>
              <w:t>potential for consumers to be misled about the intended purpose and use of electrolyte drinks</w:t>
            </w:r>
            <w:r w:rsidR="00436F46" w:rsidRPr="00B84381">
              <w:rPr>
                <w:sz w:val="20"/>
              </w:rPr>
              <w:t xml:space="preserve">. </w:t>
            </w:r>
            <w:r w:rsidRPr="00B84381">
              <w:rPr>
                <w:sz w:val="20"/>
              </w:rPr>
              <w:t xml:space="preserve"> </w:t>
            </w:r>
          </w:p>
          <w:p w14:paraId="343E32DB" w14:textId="1A9425C9" w:rsidR="00356DE1" w:rsidRPr="00E244A2" w:rsidRDefault="00356DE1" w:rsidP="00AC7104">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p>
        </w:tc>
      </w:tr>
      <w:tr w:rsidR="00356DE1" w14:paraId="325677CE" w14:textId="77777777" w:rsidTr="00D927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5" w:type="pct"/>
            <w:tcBorders>
              <w:bottom w:val="single" w:sz="4" w:space="0" w:color="auto"/>
              <w:right w:val="single" w:sz="4" w:space="0" w:color="auto"/>
            </w:tcBorders>
            <w:shd w:val="clear" w:color="auto" w:fill="auto"/>
          </w:tcPr>
          <w:p w14:paraId="73AF4AD7" w14:textId="7BE7C2D0" w:rsidR="00356DE1" w:rsidRPr="00E244A2" w:rsidRDefault="00F861DD" w:rsidP="002B7876">
            <w:pPr>
              <w:pStyle w:val="FSCtblMain"/>
              <w:tabs>
                <w:tab w:val="clear" w:pos="3969"/>
                <w:tab w:val="right" w:pos="1944"/>
              </w:tabs>
              <w:spacing w:before="29" w:after="29"/>
              <w:rPr>
                <w:i/>
                <w:sz w:val="20"/>
              </w:rPr>
            </w:pPr>
            <w:r w:rsidRPr="00E244A2">
              <w:rPr>
                <w:i/>
                <w:sz w:val="20"/>
              </w:rPr>
              <w:lastRenderedPageBreak/>
              <w:t>Nutrient Profile Scoring Criterion (</w:t>
            </w:r>
            <w:r w:rsidR="00356DE1" w:rsidRPr="00E244A2">
              <w:rPr>
                <w:i/>
                <w:sz w:val="20"/>
              </w:rPr>
              <w:t>NPSC</w:t>
            </w:r>
            <w:r w:rsidRPr="00E244A2">
              <w:rPr>
                <w:i/>
                <w:sz w:val="20"/>
              </w:rPr>
              <w:t>)</w:t>
            </w:r>
            <w:r w:rsidR="00576C91" w:rsidRPr="00E244A2">
              <w:rPr>
                <w:i/>
                <w:sz w:val="20"/>
              </w:rPr>
              <w:t xml:space="preserve"> should be extended to nutrition content claims</w:t>
            </w:r>
          </w:p>
          <w:p w14:paraId="7DEF6BC2" w14:textId="77777777" w:rsidR="00356DE1" w:rsidRDefault="00356DE1" w:rsidP="002B7876">
            <w:pPr>
              <w:pStyle w:val="FSCtblMain"/>
              <w:tabs>
                <w:tab w:val="clear" w:pos="3969"/>
                <w:tab w:val="right" w:pos="1944"/>
              </w:tabs>
              <w:spacing w:before="29" w:after="29"/>
              <w:rPr>
                <w:b w:val="0"/>
                <w:sz w:val="20"/>
              </w:rPr>
            </w:pPr>
            <w:r w:rsidRPr="00E244A2">
              <w:rPr>
                <w:b w:val="0"/>
                <w:sz w:val="20"/>
              </w:rPr>
              <w:t xml:space="preserve">The NPSC should be extended to all products carrying nutrition content claims to ensure consumers are not misled by claims on energy dense, nutrient poor foods and drinks. </w:t>
            </w:r>
          </w:p>
          <w:p w14:paraId="7D92B5B8" w14:textId="065ECD1C" w:rsidR="009E6468" w:rsidRPr="00E244A2" w:rsidRDefault="009E6468" w:rsidP="002B7876">
            <w:pPr>
              <w:pStyle w:val="FSCtblMain"/>
              <w:tabs>
                <w:tab w:val="clear" w:pos="3969"/>
                <w:tab w:val="right" w:pos="1944"/>
              </w:tabs>
              <w:spacing w:before="29" w:after="29"/>
              <w:rPr>
                <w:b w:val="0"/>
                <w:sz w:val="20"/>
              </w:rPr>
            </w:pPr>
          </w:p>
        </w:tc>
        <w:tc>
          <w:tcPr>
            <w:tcW w:w="1539" w:type="pct"/>
            <w:tcBorders>
              <w:left w:val="single" w:sz="4" w:space="0" w:color="auto"/>
              <w:bottom w:val="single" w:sz="4" w:space="0" w:color="auto"/>
              <w:right w:val="single" w:sz="4" w:space="0" w:color="auto"/>
            </w:tcBorders>
            <w:shd w:val="clear" w:color="auto" w:fill="auto"/>
          </w:tcPr>
          <w:p w14:paraId="005243F1" w14:textId="554660CF" w:rsidR="00356DE1" w:rsidRPr="00E244A2" w:rsidRDefault="00B124A0"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b/>
                <w:sz w:val="20"/>
              </w:rPr>
            </w:pPr>
            <w:r w:rsidRPr="00E244A2">
              <w:rPr>
                <w:sz w:val="20"/>
              </w:rPr>
              <w:t>Cancer Council of Australia</w:t>
            </w:r>
          </w:p>
        </w:tc>
        <w:tc>
          <w:tcPr>
            <w:tcW w:w="1796" w:type="pct"/>
            <w:tcBorders>
              <w:left w:val="single" w:sz="4" w:space="0" w:color="auto"/>
              <w:bottom w:val="single" w:sz="4" w:space="0" w:color="auto"/>
            </w:tcBorders>
            <w:shd w:val="clear" w:color="auto" w:fill="auto"/>
          </w:tcPr>
          <w:p w14:paraId="6F051DD5" w14:textId="787239E8" w:rsidR="00356DE1" w:rsidRPr="00E244A2" w:rsidRDefault="00356DE1"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sz w:val="20"/>
              </w:rPr>
            </w:pPr>
            <w:r w:rsidRPr="00E244A2">
              <w:rPr>
                <w:sz w:val="20"/>
              </w:rPr>
              <w:t>The scope of P1030 is only electrolyte drinks. To extend the NPSC to all nutrition content claims is out of scope.</w:t>
            </w:r>
          </w:p>
        </w:tc>
      </w:tr>
      <w:tr w:rsidR="00356DE1" w14:paraId="6D31C323" w14:textId="77777777" w:rsidTr="00D927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5" w:type="pct"/>
            <w:tcBorders>
              <w:right w:val="single" w:sz="4" w:space="0" w:color="auto"/>
            </w:tcBorders>
            <w:shd w:val="clear" w:color="auto" w:fill="auto"/>
          </w:tcPr>
          <w:p w14:paraId="04127D0D" w14:textId="0D59EC2B" w:rsidR="00356DE1" w:rsidRPr="00E244A2" w:rsidRDefault="00356DE1" w:rsidP="002B7876">
            <w:pPr>
              <w:pStyle w:val="FSCtblMain"/>
              <w:tabs>
                <w:tab w:val="clear" w:pos="3969"/>
                <w:tab w:val="right" w:pos="1944"/>
              </w:tabs>
              <w:spacing w:before="29" w:after="29"/>
              <w:rPr>
                <w:i/>
                <w:sz w:val="20"/>
              </w:rPr>
            </w:pPr>
            <w:r w:rsidRPr="00E244A2">
              <w:rPr>
                <w:i/>
                <w:sz w:val="20"/>
              </w:rPr>
              <w:t>NPSC</w:t>
            </w:r>
            <w:r w:rsidR="00576C91" w:rsidRPr="00E244A2">
              <w:rPr>
                <w:i/>
                <w:sz w:val="20"/>
              </w:rPr>
              <w:t xml:space="preserve"> should not apply to electrolyte drinks</w:t>
            </w:r>
          </w:p>
          <w:p w14:paraId="3A3EF2A0" w14:textId="5CB5FC1B" w:rsidR="00356DE1" w:rsidRPr="00E244A2" w:rsidRDefault="00356DE1" w:rsidP="002B7876">
            <w:pPr>
              <w:pStyle w:val="FSCtblMain"/>
              <w:tabs>
                <w:tab w:val="clear" w:pos="3969"/>
                <w:tab w:val="right" w:pos="1944"/>
              </w:tabs>
              <w:spacing w:before="29" w:after="29"/>
              <w:rPr>
                <w:i/>
                <w:sz w:val="20"/>
              </w:rPr>
            </w:pPr>
            <w:r w:rsidRPr="00E244A2">
              <w:rPr>
                <w:b w:val="0"/>
                <w:sz w:val="20"/>
              </w:rPr>
              <w:t xml:space="preserve">Consider it is not appropriate </w:t>
            </w:r>
            <w:r w:rsidR="00576C91" w:rsidRPr="00E244A2">
              <w:rPr>
                <w:b w:val="0"/>
                <w:sz w:val="20"/>
              </w:rPr>
              <w:t xml:space="preserve">for electrolyte drinks </w:t>
            </w:r>
            <w:r w:rsidRPr="00E244A2">
              <w:rPr>
                <w:b w:val="0"/>
                <w:sz w:val="20"/>
              </w:rPr>
              <w:t>to meet the NPSC in order to allow general level health claims.</w:t>
            </w:r>
          </w:p>
        </w:tc>
        <w:tc>
          <w:tcPr>
            <w:tcW w:w="1539" w:type="pct"/>
            <w:tcBorders>
              <w:left w:val="single" w:sz="4" w:space="0" w:color="auto"/>
              <w:right w:val="single" w:sz="4" w:space="0" w:color="auto"/>
            </w:tcBorders>
            <w:shd w:val="clear" w:color="auto" w:fill="auto"/>
          </w:tcPr>
          <w:p w14:paraId="5DFA09B2" w14:textId="77777777" w:rsidR="00356DE1" w:rsidRPr="00E244A2" w:rsidRDefault="00356DE1"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r w:rsidRPr="00E244A2">
              <w:rPr>
                <w:color w:val="000000"/>
                <w:sz w:val="20"/>
              </w:rPr>
              <w:t>New Zealand Food Safety</w:t>
            </w:r>
          </w:p>
          <w:p w14:paraId="1BEEC755" w14:textId="77777777" w:rsidR="00356DE1" w:rsidRPr="00E244A2" w:rsidRDefault="00356DE1"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color w:val="000000"/>
                <w:sz w:val="20"/>
              </w:rPr>
            </w:pPr>
          </w:p>
        </w:tc>
        <w:tc>
          <w:tcPr>
            <w:tcW w:w="1796" w:type="pct"/>
            <w:tcBorders>
              <w:left w:val="single" w:sz="4" w:space="0" w:color="auto"/>
            </w:tcBorders>
            <w:shd w:val="clear" w:color="auto" w:fill="auto"/>
          </w:tcPr>
          <w:p w14:paraId="3783526D" w14:textId="4B573021" w:rsidR="00760884" w:rsidRPr="00E244A2" w:rsidRDefault="00356DE1"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r w:rsidRPr="00E244A2">
              <w:rPr>
                <w:sz w:val="20"/>
              </w:rPr>
              <w:t>FSANZ’s decision is to permit three pre-approved health claims for electrolyte drinks</w:t>
            </w:r>
            <w:r w:rsidR="00760884" w:rsidRPr="00E244A2">
              <w:rPr>
                <w:sz w:val="20"/>
              </w:rPr>
              <w:t xml:space="preserve">. Standard 1.2.7 does not apply to a health claim made about an electrolyte drink or electrolyte drink base, including the requirements to meet the NPSC. </w:t>
            </w:r>
          </w:p>
          <w:p w14:paraId="2446748D" w14:textId="4FD31562" w:rsidR="00356DE1" w:rsidRDefault="004A53D3"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r>
              <w:rPr>
                <w:sz w:val="20"/>
              </w:rPr>
              <w:t>Refer Section 2.4</w:t>
            </w:r>
            <w:r w:rsidR="00C2431C" w:rsidRPr="00E244A2">
              <w:rPr>
                <w:sz w:val="20"/>
              </w:rPr>
              <w:t>.5.4</w:t>
            </w:r>
            <w:r w:rsidR="00356DE1" w:rsidRPr="00E244A2">
              <w:rPr>
                <w:sz w:val="20"/>
              </w:rPr>
              <w:t xml:space="preserve"> </w:t>
            </w:r>
            <w:r w:rsidR="00B10C37" w:rsidRPr="00E244A2">
              <w:rPr>
                <w:sz w:val="20"/>
              </w:rPr>
              <w:t xml:space="preserve">of this Report </w:t>
            </w:r>
            <w:r w:rsidR="00C2431C" w:rsidRPr="00E244A2">
              <w:rPr>
                <w:sz w:val="20"/>
              </w:rPr>
              <w:t>for information on the approach for health claims.</w:t>
            </w:r>
          </w:p>
          <w:p w14:paraId="3261CE3D" w14:textId="2F9FE5FA" w:rsidR="009E6468" w:rsidRPr="00E244A2" w:rsidRDefault="009E6468"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p>
        </w:tc>
      </w:tr>
      <w:tr w:rsidR="00356DE1" w14:paraId="1DF391E1" w14:textId="77777777" w:rsidTr="00E244A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5" w:type="pct"/>
            <w:tcBorders>
              <w:bottom w:val="single" w:sz="4" w:space="0" w:color="auto"/>
            </w:tcBorders>
            <w:shd w:val="clear" w:color="auto" w:fill="EAF1DD" w:themeFill="accent3" w:themeFillTint="33"/>
          </w:tcPr>
          <w:p w14:paraId="3B02FA2F" w14:textId="444B96A4" w:rsidR="00356DE1" w:rsidRPr="00E244A2" w:rsidRDefault="00992A1D" w:rsidP="002B7876">
            <w:pPr>
              <w:pStyle w:val="FSCtblMain"/>
              <w:tabs>
                <w:tab w:val="clear" w:pos="3969"/>
                <w:tab w:val="right" w:pos="1944"/>
              </w:tabs>
              <w:spacing w:before="29" w:after="29"/>
              <w:rPr>
                <w:i/>
                <w:sz w:val="20"/>
              </w:rPr>
            </w:pPr>
            <w:r w:rsidRPr="00E244A2">
              <w:rPr>
                <w:sz w:val="20"/>
              </w:rPr>
              <w:t>Electrolytes</w:t>
            </w:r>
          </w:p>
        </w:tc>
        <w:tc>
          <w:tcPr>
            <w:tcW w:w="1539" w:type="pct"/>
            <w:tcBorders>
              <w:bottom w:val="single" w:sz="4" w:space="0" w:color="auto"/>
            </w:tcBorders>
            <w:shd w:val="clear" w:color="auto" w:fill="EAF1DD" w:themeFill="accent3" w:themeFillTint="33"/>
          </w:tcPr>
          <w:p w14:paraId="7C44AB12" w14:textId="77777777" w:rsidR="00356DE1" w:rsidRPr="00E244A2" w:rsidRDefault="00356DE1"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p>
        </w:tc>
        <w:tc>
          <w:tcPr>
            <w:tcW w:w="1796" w:type="pct"/>
            <w:tcBorders>
              <w:bottom w:val="single" w:sz="4" w:space="0" w:color="auto"/>
            </w:tcBorders>
            <w:shd w:val="clear" w:color="auto" w:fill="EAF1DD" w:themeFill="accent3" w:themeFillTint="33"/>
          </w:tcPr>
          <w:p w14:paraId="7163D51C" w14:textId="3ED770B6" w:rsidR="00356DE1" w:rsidRPr="00E244A2" w:rsidRDefault="00356DE1"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sz w:val="20"/>
              </w:rPr>
            </w:pPr>
          </w:p>
        </w:tc>
      </w:tr>
      <w:tr w:rsidR="00225146" w14:paraId="2F36BCE6" w14:textId="77777777" w:rsidTr="00E244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5" w:type="pct"/>
            <w:tcBorders>
              <w:right w:val="single" w:sz="4" w:space="0" w:color="auto"/>
            </w:tcBorders>
            <w:shd w:val="clear" w:color="auto" w:fill="auto"/>
          </w:tcPr>
          <w:p w14:paraId="25C432B0" w14:textId="77777777" w:rsidR="00760884" w:rsidRPr="00E244A2" w:rsidRDefault="00760884" w:rsidP="002B7876">
            <w:pPr>
              <w:pStyle w:val="FSCtblMain"/>
              <w:tabs>
                <w:tab w:val="clear" w:pos="3969"/>
                <w:tab w:val="right" w:pos="1944"/>
              </w:tabs>
              <w:spacing w:before="29" w:after="29"/>
              <w:rPr>
                <w:b w:val="0"/>
                <w:i/>
                <w:sz w:val="20"/>
              </w:rPr>
            </w:pPr>
            <w:r w:rsidRPr="00E244A2">
              <w:rPr>
                <w:i/>
                <w:sz w:val="20"/>
              </w:rPr>
              <w:t>Prohibit %RDI declarations</w:t>
            </w:r>
          </w:p>
          <w:p w14:paraId="24301E36" w14:textId="54C6E35E" w:rsidR="00225146" w:rsidRPr="00E244A2" w:rsidRDefault="00760884" w:rsidP="002B7876">
            <w:pPr>
              <w:pStyle w:val="FSCtblMain"/>
              <w:tabs>
                <w:tab w:val="clear" w:pos="3969"/>
                <w:tab w:val="right" w:pos="1944"/>
              </w:tabs>
              <w:spacing w:before="29" w:after="29"/>
              <w:rPr>
                <w:b w:val="0"/>
                <w:sz w:val="20"/>
              </w:rPr>
            </w:pPr>
            <w:r w:rsidRPr="00E244A2">
              <w:rPr>
                <w:b w:val="0"/>
                <w:sz w:val="20"/>
              </w:rPr>
              <w:t>There is merit in reconsidering the exemption from declaring %RDI as electrolytes, by their compositional chemistry, are still minerals under Schedule 17 and therefore contribute to dietary exposure to minerals.</w:t>
            </w:r>
          </w:p>
        </w:tc>
        <w:tc>
          <w:tcPr>
            <w:tcW w:w="1539" w:type="pct"/>
            <w:tcBorders>
              <w:left w:val="single" w:sz="4" w:space="0" w:color="auto"/>
              <w:right w:val="single" w:sz="4" w:space="0" w:color="auto"/>
            </w:tcBorders>
            <w:shd w:val="clear" w:color="auto" w:fill="auto"/>
          </w:tcPr>
          <w:p w14:paraId="6503BD4E" w14:textId="4829745D" w:rsidR="00225146" w:rsidRPr="00E244A2" w:rsidRDefault="00760884"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r w:rsidRPr="00E244A2">
              <w:rPr>
                <w:sz w:val="20"/>
              </w:rPr>
              <w:t>New South Wales Food Safety Authority</w:t>
            </w:r>
          </w:p>
        </w:tc>
        <w:tc>
          <w:tcPr>
            <w:tcW w:w="1796" w:type="pct"/>
            <w:tcBorders>
              <w:left w:val="single" w:sz="4" w:space="0" w:color="auto"/>
            </w:tcBorders>
            <w:shd w:val="clear" w:color="auto" w:fill="auto"/>
          </w:tcPr>
          <w:p w14:paraId="7225F7CE" w14:textId="77777777" w:rsidR="00225146" w:rsidRDefault="0058461C"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r w:rsidRPr="00E244A2">
              <w:rPr>
                <w:sz w:val="20"/>
              </w:rPr>
              <w:t xml:space="preserve">The requirements for RDIs in the Code are based on their function in the body as minerals. </w:t>
            </w:r>
            <w:r w:rsidR="00225146" w:rsidRPr="00E244A2">
              <w:rPr>
                <w:sz w:val="20"/>
              </w:rPr>
              <w:t>FSANZ considers that percentage RDI declarations are not relevant in th</w:t>
            </w:r>
            <w:r w:rsidR="00B50264" w:rsidRPr="00E244A2">
              <w:rPr>
                <w:sz w:val="20"/>
              </w:rPr>
              <w:t>e context of electrolyte drinks</w:t>
            </w:r>
            <w:r w:rsidR="00142245" w:rsidRPr="00E244A2">
              <w:rPr>
                <w:sz w:val="20"/>
              </w:rPr>
              <w:t xml:space="preserve"> that have </w:t>
            </w:r>
            <w:r w:rsidR="00142245" w:rsidRPr="00E244A2">
              <w:rPr>
                <w:rFonts w:eastAsia="Calibri"/>
                <w:sz w:val="20"/>
              </w:rPr>
              <w:t>an intended purpose and prescribed composition</w:t>
            </w:r>
            <w:r w:rsidR="00B50264" w:rsidRPr="00E244A2">
              <w:rPr>
                <w:sz w:val="20"/>
              </w:rPr>
              <w:t xml:space="preserve">. </w:t>
            </w:r>
            <w:r w:rsidR="00F43B82" w:rsidRPr="00E244A2">
              <w:rPr>
                <w:sz w:val="20"/>
              </w:rPr>
              <w:t xml:space="preserve">Consumers can still </w:t>
            </w:r>
            <w:r w:rsidR="000B2561" w:rsidRPr="00E244A2">
              <w:rPr>
                <w:sz w:val="20"/>
              </w:rPr>
              <w:t xml:space="preserve">readily </w:t>
            </w:r>
            <w:r w:rsidR="00F43B82" w:rsidRPr="00E244A2">
              <w:rPr>
                <w:sz w:val="20"/>
              </w:rPr>
              <w:t xml:space="preserve">access information </w:t>
            </w:r>
            <w:r w:rsidR="000B2561" w:rsidRPr="00E244A2">
              <w:rPr>
                <w:sz w:val="20"/>
              </w:rPr>
              <w:t>regarding</w:t>
            </w:r>
            <w:r w:rsidR="00F43B82" w:rsidRPr="00E244A2">
              <w:rPr>
                <w:sz w:val="20"/>
              </w:rPr>
              <w:t xml:space="preserve"> the amount of added minerals</w:t>
            </w:r>
            <w:r w:rsidR="000B2561" w:rsidRPr="00E244A2">
              <w:rPr>
                <w:sz w:val="20"/>
              </w:rPr>
              <w:t xml:space="preserve"> (electrolytes)</w:t>
            </w:r>
            <w:r w:rsidR="00F43B82" w:rsidRPr="00E244A2">
              <w:rPr>
                <w:sz w:val="20"/>
              </w:rPr>
              <w:t xml:space="preserve"> </w:t>
            </w:r>
            <w:r w:rsidR="000B2561" w:rsidRPr="00E244A2">
              <w:rPr>
                <w:sz w:val="20"/>
              </w:rPr>
              <w:t>from the</w:t>
            </w:r>
            <w:r w:rsidR="00F43B82" w:rsidRPr="00E244A2">
              <w:rPr>
                <w:sz w:val="20"/>
              </w:rPr>
              <w:t xml:space="preserve"> NIP.</w:t>
            </w:r>
          </w:p>
          <w:p w14:paraId="5B82424F" w14:textId="6F06C7A5" w:rsidR="009E6468" w:rsidRPr="00E244A2" w:rsidRDefault="009E6468" w:rsidP="002B7876">
            <w:pPr>
              <w:pStyle w:val="FSCtblMain"/>
              <w:tabs>
                <w:tab w:val="clear" w:pos="3969"/>
                <w:tab w:val="right" w:pos="1944"/>
              </w:tabs>
              <w:spacing w:before="29" w:after="29"/>
              <w:cnfStyle w:val="000000100000" w:firstRow="0" w:lastRow="0" w:firstColumn="0" w:lastColumn="0" w:oddVBand="0" w:evenVBand="0" w:oddHBand="1" w:evenHBand="0" w:firstRowFirstColumn="0" w:firstRowLastColumn="0" w:lastRowFirstColumn="0" w:lastRowLastColumn="0"/>
              <w:rPr>
                <w:sz w:val="20"/>
              </w:rPr>
            </w:pPr>
          </w:p>
        </w:tc>
      </w:tr>
      <w:tr w:rsidR="00225146" w14:paraId="4788995F" w14:textId="77777777" w:rsidTr="00E244A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5" w:type="pct"/>
            <w:tcBorders>
              <w:right w:val="single" w:sz="4" w:space="0" w:color="auto"/>
            </w:tcBorders>
            <w:shd w:val="clear" w:color="auto" w:fill="auto"/>
          </w:tcPr>
          <w:p w14:paraId="37E66C77" w14:textId="46E8D416" w:rsidR="00225146" w:rsidRPr="00E244A2" w:rsidRDefault="00AF3270" w:rsidP="002B7876">
            <w:pPr>
              <w:pStyle w:val="FSCtblMain"/>
              <w:tabs>
                <w:tab w:val="clear" w:pos="3969"/>
                <w:tab w:val="right" w:pos="1944"/>
              </w:tabs>
              <w:spacing w:before="29" w:after="29"/>
              <w:rPr>
                <w:i/>
                <w:sz w:val="20"/>
              </w:rPr>
            </w:pPr>
            <w:r w:rsidRPr="00E244A2">
              <w:rPr>
                <w:i/>
                <w:sz w:val="20"/>
              </w:rPr>
              <w:lastRenderedPageBreak/>
              <w:t>I</w:t>
            </w:r>
            <w:r w:rsidR="00CA6605" w:rsidRPr="00E244A2">
              <w:rPr>
                <w:i/>
                <w:sz w:val="20"/>
              </w:rPr>
              <w:t>dentification of</w:t>
            </w:r>
            <w:r w:rsidR="00225146" w:rsidRPr="00E244A2">
              <w:rPr>
                <w:i/>
                <w:sz w:val="20"/>
              </w:rPr>
              <w:t xml:space="preserve"> </w:t>
            </w:r>
            <w:r w:rsidRPr="00E244A2">
              <w:rPr>
                <w:i/>
                <w:sz w:val="20"/>
              </w:rPr>
              <w:t xml:space="preserve">prescribed </w:t>
            </w:r>
            <w:r w:rsidR="00225146" w:rsidRPr="00E244A2">
              <w:rPr>
                <w:i/>
                <w:sz w:val="20"/>
              </w:rPr>
              <w:t>electrolytes</w:t>
            </w:r>
          </w:p>
          <w:p w14:paraId="78241CD1" w14:textId="0012C442" w:rsidR="00225146" w:rsidRPr="00E244A2" w:rsidRDefault="00225146" w:rsidP="002B7876">
            <w:pPr>
              <w:pStyle w:val="FSCtblMain"/>
              <w:tabs>
                <w:tab w:val="clear" w:pos="3969"/>
                <w:tab w:val="right" w:pos="1944"/>
              </w:tabs>
              <w:spacing w:before="29" w:after="29"/>
              <w:rPr>
                <w:b w:val="0"/>
                <w:sz w:val="20"/>
              </w:rPr>
            </w:pPr>
            <w:r w:rsidRPr="00E244A2">
              <w:rPr>
                <w:b w:val="0"/>
                <w:sz w:val="20"/>
              </w:rPr>
              <w:t>If a claim is made for a specific electrolyte, listing electrolytes in the NIP as Sodium (electrolyte) would provide greater clarity for consumers and help enforcement agencies assess compliance.</w:t>
            </w:r>
          </w:p>
          <w:p w14:paraId="3098D3DF" w14:textId="36D7DAB7" w:rsidR="009957B0" w:rsidRPr="00E244A2" w:rsidRDefault="009957B0" w:rsidP="002B7876">
            <w:pPr>
              <w:pStyle w:val="FSCtblMain"/>
              <w:tabs>
                <w:tab w:val="clear" w:pos="3969"/>
                <w:tab w:val="right" w:pos="1944"/>
              </w:tabs>
              <w:spacing w:before="29" w:after="29"/>
              <w:rPr>
                <w:b w:val="0"/>
                <w:sz w:val="20"/>
              </w:rPr>
            </w:pPr>
            <w:r w:rsidRPr="00E244A2">
              <w:rPr>
                <w:b w:val="0"/>
                <w:sz w:val="20"/>
              </w:rPr>
              <w:t xml:space="preserve">Seek clarification on the difference fulfilled by electrolytes with an associated health benefit from their technological purpose in foods as additives. This may aid consumer and enforcement understanding. </w:t>
            </w:r>
          </w:p>
        </w:tc>
        <w:tc>
          <w:tcPr>
            <w:tcW w:w="1539" w:type="pct"/>
            <w:tcBorders>
              <w:left w:val="single" w:sz="4" w:space="0" w:color="auto"/>
              <w:right w:val="single" w:sz="4" w:space="0" w:color="auto"/>
            </w:tcBorders>
            <w:shd w:val="clear" w:color="auto" w:fill="auto"/>
          </w:tcPr>
          <w:p w14:paraId="4ED860A0" w14:textId="77777777" w:rsidR="00760884" w:rsidRPr="00E244A2" w:rsidRDefault="00760884"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New Zealand Food Safety</w:t>
            </w:r>
          </w:p>
          <w:p w14:paraId="4E0AF7BF" w14:textId="59E8B0AA" w:rsidR="00CA6605" w:rsidRPr="00E244A2" w:rsidRDefault="00CA6605"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sz w:val="20"/>
              </w:rPr>
              <w:t>New South Wales Food Safety Authority</w:t>
            </w:r>
          </w:p>
          <w:p w14:paraId="7204DF56" w14:textId="17CA818B" w:rsidR="00225146" w:rsidRPr="00E244A2" w:rsidRDefault="00225146"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sz w:val="20"/>
              </w:rPr>
            </w:pPr>
          </w:p>
        </w:tc>
        <w:tc>
          <w:tcPr>
            <w:tcW w:w="1796" w:type="pct"/>
            <w:tcBorders>
              <w:left w:val="single" w:sz="4" w:space="0" w:color="auto"/>
            </w:tcBorders>
            <w:shd w:val="clear" w:color="auto" w:fill="auto"/>
          </w:tcPr>
          <w:p w14:paraId="62DDC07F" w14:textId="4A033F9C" w:rsidR="00225146" w:rsidRPr="00E244A2" w:rsidRDefault="00225146"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sz w:val="20"/>
              </w:rPr>
            </w:pPr>
            <w:r w:rsidRPr="00E244A2">
              <w:rPr>
                <w:sz w:val="20"/>
              </w:rPr>
              <w:t xml:space="preserve">The prescribed electrolytes will be identified in Standard 2.6.2, which can be referred to for enforcement purposes. </w:t>
            </w:r>
            <w:r w:rsidR="008B422C" w:rsidRPr="00E244A2">
              <w:rPr>
                <w:sz w:val="20"/>
              </w:rPr>
              <w:t xml:space="preserve">Nutrition content claims </w:t>
            </w:r>
            <w:r w:rsidR="00F048BD" w:rsidRPr="00E244A2">
              <w:rPr>
                <w:sz w:val="20"/>
              </w:rPr>
              <w:t xml:space="preserve">are required </w:t>
            </w:r>
            <w:r w:rsidR="008B422C" w:rsidRPr="00E244A2">
              <w:rPr>
                <w:sz w:val="20"/>
              </w:rPr>
              <w:t xml:space="preserve">to include the word ‘electrolyte’, which will provide clarity to consumers. </w:t>
            </w:r>
          </w:p>
          <w:p w14:paraId="216A977D" w14:textId="786D50AF" w:rsidR="00225146" w:rsidRDefault="00AF3270"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sz w:val="20"/>
              </w:rPr>
            </w:pPr>
            <w:r w:rsidRPr="00E244A2">
              <w:rPr>
                <w:sz w:val="20"/>
              </w:rPr>
              <w:t xml:space="preserve">Prescribed electrolytes are permitted to be added to electrolyte drinks for the purposes of rapid replacement of fluid and electrolytes (refer </w:t>
            </w:r>
            <w:r w:rsidR="004A53D3">
              <w:rPr>
                <w:sz w:val="20"/>
              </w:rPr>
              <w:t xml:space="preserve">to </w:t>
            </w:r>
            <w:r w:rsidRPr="00E244A2">
              <w:rPr>
                <w:sz w:val="20"/>
              </w:rPr>
              <w:t>Section 2.3</w:t>
            </w:r>
            <w:r w:rsidR="00C73E5C">
              <w:rPr>
                <w:sz w:val="20"/>
              </w:rPr>
              <w:t xml:space="preserve"> of this Report</w:t>
            </w:r>
            <w:r w:rsidRPr="00E244A2">
              <w:rPr>
                <w:sz w:val="20"/>
              </w:rPr>
              <w:t xml:space="preserve">). </w:t>
            </w:r>
            <w:r w:rsidR="00CA6605" w:rsidRPr="00E244A2">
              <w:rPr>
                <w:sz w:val="20"/>
              </w:rPr>
              <w:t>These substances are</w:t>
            </w:r>
            <w:r w:rsidR="00D537B7">
              <w:rPr>
                <w:sz w:val="20"/>
              </w:rPr>
              <w:t xml:space="preserve"> also</w:t>
            </w:r>
            <w:r w:rsidR="00CA6605" w:rsidRPr="00E244A2">
              <w:rPr>
                <w:sz w:val="20"/>
              </w:rPr>
              <w:t xml:space="preserve"> permitted to be used as a food additive in electrolyte drinks with the maximum permitted level of GMP to perform a particular technological function in the food (refer definition of GMP in Standard 1.1.2</w:t>
            </w:r>
            <w:r w:rsidRPr="00E244A2">
              <w:rPr>
                <w:sz w:val="20"/>
              </w:rPr>
              <w:t xml:space="preserve"> of the Code</w:t>
            </w:r>
            <w:r w:rsidR="00CA6605" w:rsidRPr="00E244A2">
              <w:rPr>
                <w:sz w:val="20"/>
              </w:rPr>
              <w:t xml:space="preserve">).  </w:t>
            </w:r>
          </w:p>
          <w:p w14:paraId="3FF8D177" w14:textId="490A0B91" w:rsidR="009E6468" w:rsidRPr="00E244A2" w:rsidRDefault="009E6468"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sz w:val="20"/>
              </w:rPr>
            </w:pPr>
          </w:p>
        </w:tc>
      </w:tr>
      <w:tr w:rsidR="00C878CC" w14:paraId="23682D69" w14:textId="77777777" w:rsidTr="00E244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auto"/>
            </w:tcBorders>
            <w:shd w:val="clear" w:color="auto" w:fill="EAF1DD" w:themeFill="accent3" w:themeFillTint="33"/>
          </w:tcPr>
          <w:p w14:paraId="5AE52278" w14:textId="643E4EE9" w:rsidR="00C878CC" w:rsidRPr="00E244A2" w:rsidRDefault="001F6D23" w:rsidP="002B7876">
            <w:pPr>
              <w:pStyle w:val="FSCtblMain"/>
              <w:tabs>
                <w:tab w:val="clear" w:pos="3969"/>
                <w:tab w:val="right" w:pos="1944"/>
              </w:tabs>
              <w:spacing w:before="29" w:after="29"/>
              <w:rPr>
                <w:sz w:val="20"/>
              </w:rPr>
            </w:pPr>
            <w:r w:rsidRPr="00E244A2">
              <w:rPr>
                <w:sz w:val="20"/>
              </w:rPr>
              <w:t>Transition Period</w:t>
            </w:r>
          </w:p>
        </w:tc>
      </w:tr>
      <w:tr w:rsidR="00C878CC" w14:paraId="27D4BE38" w14:textId="77777777" w:rsidTr="00E244A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5" w:type="pct"/>
            <w:tcBorders>
              <w:right w:val="single" w:sz="4" w:space="0" w:color="auto"/>
            </w:tcBorders>
            <w:shd w:val="clear" w:color="auto" w:fill="auto"/>
          </w:tcPr>
          <w:p w14:paraId="31513C0E" w14:textId="77777777" w:rsidR="00C878CC" w:rsidRDefault="00C878CC" w:rsidP="002B7876">
            <w:pPr>
              <w:pStyle w:val="FSCtblMain"/>
              <w:tabs>
                <w:tab w:val="clear" w:pos="3969"/>
                <w:tab w:val="right" w:pos="1944"/>
              </w:tabs>
              <w:spacing w:before="29" w:after="29"/>
              <w:rPr>
                <w:b w:val="0"/>
                <w:color w:val="000000"/>
                <w:sz w:val="20"/>
              </w:rPr>
            </w:pPr>
            <w:r w:rsidRPr="00E244A2">
              <w:rPr>
                <w:b w:val="0"/>
                <w:color w:val="000000"/>
                <w:sz w:val="20"/>
              </w:rPr>
              <w:t xml:space="preserve">Seek a longer transition period given the number of other labelling changes required to be implemented by the beverage industry, the long shelf-life of </w:t>
            </w:r>
            <w:r w:rsidR="00A4171C" w:rsidRPr="00E244A2">
              <w:rPr>
                <w:b w:val="0"/>
                <w:color w:val="000000"/>
                <w:sz w:val="20"/>
              </w:rPr>
              <w:t>electrolyte drink</w:t>
            </w:r>
            <w:r w:rsidRPr="00E244A2">
              <w:rPr>
                <w:b w:val="0"/>
                <w:color w:val="000000"/>
                <w:sz w:val="20"/>
              </w:rPr>
              <w:t>s and the direct impact on trade/imported supplies as a direct consequence of COVID-19.</w:t>
            </w:r>
          </w:p>
          <w:p w14:paraId="0D4F1D3B" w14:textId="07E32D65" w:rsidR="009E6468" w:rsidRPr="00E244A2" w:rsidRDefault="009E6468" w:rsidP="002B7876">
            <w:pPr>
              <w:pStyle w:val="FSCtblMain"/>
              <w:tabs>
                <w:tab w:val="clear" w:pos="3969"/>
                <w:tab w:val="right" w:pos="1944"/>
              </w:tabs>
              <w:spacing w:before="29" w:after="29"/>
              <w:rPr>
                <w:b w:val="0"/>
                <w:color w:val="000000"/>
                <w:sz w:val="20"/>
              </w:rPr>
            </w:pPr>
          </w:p>
        </w:tc>
        <w:tc>
          <w:tcPr>
            <w:tcW w:w="1539" w:type="pct"/>
            <w:tcBorders>
              <w:left w:val="single" w:sz="4" w:space="0" w:color="auto"/>
              <w:right w:val="single" w:sz="4" w:space="0" w:color="auto"/>
            </w:tcBorders>
            <w:shd w:val="clear" w:color="auto" w:fill="auto"/>
          </w:tcPr>
          <w:p w14:paraId="2429A08B" w14:textId="77777777" w:rsidR="00C878CC" w:rsidRPr="00E244A2" w:rsidRDefault="00C878CC"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Australian Beverages Council Limited</w:t>
            </w:r>
          </w:p>
          <w:p w14:paraId="6C00C32B" w14:textId="77777777" w:rsidR="00C878CC" w:rsidRPr="00E244A2" w:rsidRDefault="00C878CC"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Australia Food &amp; Grocery Council</w:t>
            </w:r>
          </w:p>
          <w:p w14:paraId="744C3E2E" w14:textId="77777777" w:rsidR="00C878CC" w:rsidRPr="00E244A2" w:rsidRDefault="00C878CC"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sz w:val="20"/>
              </w:rPr>
            </w:pPr>
            <w:r w:rsidRPr="00E244A2">
              <w:rPr>
                <w:sz w:val="20"/>
              </w:rPr>
              <w:t>New Zealand Beverages Council</w:t>
            </w:r>
          </w:p>
          <w:p w14:paraId="2BFA6AC4" w14:textId="77777777" w:rsidR="00C878CC" w:rsidRPr="00E244A2" w:rsidRDefault="00C878CC"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 xml:space="preserve">New Zealand Food &amp; Grocery Council </w:t>
            </w:r>
          </w:p>
          <w:p w14:paraId="2F212991" w14:textId="2D58B5FF" w:rsidR="00C878CC" w:rsidRPr="00E244A2" w:rsidRDefault="00C878CC"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sz w:val="20"/>
              </w:rPr>
              <w:t>N</w:t>
            </w:r>
            <w:r w:rsidR="00C20DC6" w:rsidRPr="00E244A2">
              <w:rPr>
                <w:sz w:val="20"/>
              </w:rPr>
              <w:t>ew South Wales</w:t>
            </w:r>
            <w:r w:rsidRPr="00E244A2">
              <w:rPr>
                <w:sz w:val="20"/>
              </w:rPr>
              <w:t xml:space="preserve"> Food Authority</w:t>
            </w:r>
          </w:p>
        </w:tc>
        <w:tc>
          <w:tcPr>
            <w:tcW w:w="1796" w:type="pct"/>
            <w:tcBorders>
              <w:left w:val="single" w:sz="4" w:space="0" w:color="auto"/>
            </w:tcBorders>
            <w:shd w:val="clear" w:color="auto" w:fill="auto"/>
          </w:tcPr>
          <w:p w14:paraId="26445DF1" w14:textId="007EA61F" w:rsidR="00C878CC" w:rsidRPr="00E244A2" w:rsidRDefault="00C878CC" w:rsidP="002B7876">
            <w:pPr>
              <w:pStyle w:val="FSCtblMain"/>
              <w:tabs>
                <w:tab w:val="clear" w:pos="3969"/>
                <w:tab w:val="right" w:pos="1944"/>
              </w:tabs>
              <w:spacing w:before="29" w:after="29"/>
              <w:cnfStyle w:val="000000010000" w:firstRow="0" w:lastRow="0" w:firstColumn="0" w:lastColumn="0" w:oddVBand="0" w:evenVBand="0" w:oddHBand="0" w:evenHBand="1" w:firstRowFirstColumn="0" w:firstRowLastColumn="0" w:lastRowFirstColumn="0" w:lastRowLastColumn="0"/>
              <w:rPr>
                <w:color w:val="000000"/>
                <w:sz w:val="20"/>
              </w:rPr>
            </w:pPr>
            <w:r w:rsidRPr="00E244A2">
              <w:rPr>
                <w:color w:val="000000"/>
                <w:sz w:val="20"/>
              </w:rPr>
              <w:t>FSANZ</w:t>
            </w:r>
            <w:r w:rsidRPr="00E244A2" w:rsidDel="00D95C5C">
              <w:rPr>
                <w:color w:val="000000"/>
                <w:sz w:val="20"/>
              </w:rPr>
              <w:t xml:space="preserve"> </w:t>
            </w:r>
            <w:r w:rsidR="00D537B7">
              <w:rPr>
                <w:color w:val="000000"/>
                <w:sz w:val="20"/>
              </w:rPr>
              <w:t xml:space="preserve">has </w:t>
            </w:r>
            <w:r w:rsidRPr="00E244A2">
              <w:rPr>
                <w:color w:val="000000"/>
                <w:sz w:val="20"/>
              </w:rPr>
              <w:t xml:space="preserve">amended the drafting to allow for a longer transition period. </w:t>
            </w:r>
            <w:r w:rsidR="00D05DF0" w:rsidRPr="00E244A2">
              <w:rPr>
                <w:sz w:val="20"/>
              </w:rPr>
              <w:t>See Section 3 of this R</w:t>
            </w:r>
            <w:r w:rsidRPr="00E244A2">
              <w:rPr>
                <w:sz w:val="20"/>
              </w:rPr>
              <w:t xml:space="preserve">eport for further discussion. </w:t>
            </w:r>
          </w:p>
        </w:tc>
      </w:tr>
    </w:tbl>
    <w:p w14:paraId="5CFD602D" w14:textId="77777777" w:rsidR="007A53BF" w:rsidRDefault="007A53BF" w:rsidP="007A53BF">
      <w:pPr>
        <w:rPr>
          <w:color w:val="00B050"/>
        </w:rPr>
      </w:pPr>
    </w:p>
    <w:p w14:paraId="0280ECAE" w14:textId="77777777" w:rsidR="002F3387" w:rsidRDefault="002F3387" w:rsidP="007B4B2D">
      <w:pPr>
        <w:pStyle w:val="Heading2"/>
        <w:spacing w:after="120"/>
        <w:sectPr w:rsidR="002F3387" w:rsidSect="00812C36">
          <w:pgSz w:w="16838" w:h="11906" w:orient="landscape" w:code="9"/>
          <w:pgMar w:top="1418" w:right="1418" w:bottom="1134" w:left="1418" w:header="709" w:footer="709" w:gutter="0"/>
          <w:cols w:space="708"/>
          <w:docGrid w:linePitch="360"/>
        </w:sectPr>
      </w:pPr>
      <w:bookmarkStart w:id="105" w:name="_Toc370223472"/>
      <w:bookmarkStart w:id="106" w:name="_Toc370225387"/>
      <w:bookmarkStart w:id="107" w:name="_Toc100829767"/>
      <w:bookmarkStart w:id="108" w:name="_Toc309291812"/>
      <w:bookmarkStart w:id="109" w:name="_Toc175381442"/>
      <w:bookmarkEnd w:id="94"/>
      <w:bookmarkEnd w:id="95"/>
      <w:bookmarkEnd w:id="96"/>
      <w:bookmarkEnd w:id="97"/>
      <w:bookmarkEnd w:id="98"/>
      <w:bookmarkEnd w:id="99"/>
    </w:p>
    <w:p w14:paraId="106F6EA0" w14:textId="24230507" w:rsidR="002C1A3B" w:rsidRPr="00932F14" w:rsidRDefault="002C1A3B" w:rsidP="007B4B2D">
      <w:pPr>
        <w:pStyle w:val="Heading2"/>
        <w:spacing w:after="120"/>
      </w:pPr>
      <w:bookmarkStart w:id="110" w:name="_Toc103090810"/>
      <w:bookmarkStart w:id="111" w:name="_Toc103197702"/>
      <w:r>
        <w:lastRenderedPageBreak/>
        <w:t>2.</w:t>
      </w:r>
      <w:r w:rsidR="00C76679">
        <w:t>3</w:t>
      </w:r>
      <w:r>
        <w:tab/>
      </w:r>
      <w:r w:rsidRPr="00932F14">
        <w:t xml:space="preserve">Risk </w:t>
      </w:r>
      <w:r>
        <w:t>a</w:t>
      </w:r>
      <w:r w:rsidRPr="00932F14">
        <w:t>ssessment</w:t>
      </w:r>
      <w:bookmarkEnd w:id="105"/>
      <w:bookmarkEnd w:id="106"/>
      <w:bookmarkEnd w:id="107"/>
      <w:bookmarkEnd w:id="110"/>
      <w:bookmarkEnd w:id="111"/>
      <w:r w:rsidRPr="00932F14">
        <w:t xml:space="preserve"> </w:t>
      </w:r>
    </w:p>
    <w:p w14:paraId="3D4ED793" w14:textId="6CED5764" w:rsidR="004F2CBD" w:rsidRDefault="004F2CBD" w:rsidP="004F2CBD">
      <w:pPr>
        <w:widowControl/>
        <w:spacing w:before="120" w:after="120"/>
      </w:pPr>
      <w:r>
        <w:t>Intense physical exercise leads to sweating in order to dissipate heat and reduce body temperature to normal levels. Sweating results in a loss of body water, sodium and, to a lesser extent, other minerals including potassium, calcium and magnesium. Physiological responses to dehydration include increased cardiovascular strain, an inability to thermoregulate and</w:t>
      </w:r>
      <w:r w:rsidR="00C76AD1">
        <w:t>,</w:t>
      </w:r>
      <w:r>
        <w:t xml:space="preserve"> at high levels</w:t>
      </w:r>
      <w:r w:rsidR="00C76AD1">
        <w:t>,</w:t>
      </w:r>
      <w:r>
        <w:t xml:space="preserve"> results in impaired mental function.</w:t>
      </w:r>
    </w:p>
    <w:p w14:paraId="14B0F114" w14:textId="2A0BFFD3" w:rsidR="004F2CBD" w:rsidRDefault="004F2CBD" w:rsidP="004F2CBD">
      <w:pPr>
        <w:widowControl/>
        <w:spacing w:before="120" w:after="120"/>
      </w:pPr>
      <w:r>
        <w:t>Dehydration as well as a decrease in the body’s carbohydrate reserves can impair physical performance. Consumption of electrolyte drinks during and after intense exercise aids in rehydration and maintaining physical performance. Research on electrolyte drinks has primarily focused on those with a carbohydrate content of 6 to 18%. Standard 2.6.2 currently requires an electrolyte drink to contain 5 to</w:t>
      </w:r>
      <w:r w:rsidR="00BA3882">
        <w:t xml:space="preserve"> </w:t>
      </w:r>
      <w:r>
        <w:t xml:space="preserve">10% carbohydrate. </w:t>
      </w:r>
    </w:p>
    <w:p w14:paraId="631D5B77" w14:textId="5A99EAA3" w:rsidR="004F2CBD" w:rsidRDefault="004F2CBD" w:rsidP="004F2CBD">
      <w:pPr>
        <w:widowControl/>
        <w:spacing w:before="120" w:after="120"/>
      </w:pPr>
      <w:r>
        <w:t xml:space="preserve">The purpose of </w:t>
      </w:r>
      <w:r w:rsidR="00DD689C">
        <w:t>the assessment</w:t>
      </w:r>
      <w:r>
        <w:t xml:space="preserve"> was to determine if lower carbohydrate (less than 5%) electrolyte drinks have a similar effect on rehydration and exercise performance as those that are currently permitted in the Code. </w:t>
      </w:r>
    </w:p>
    <w:p w14:paraId="784ABDD7" w14:textId="77777777" w:rsidR="004F2CBD" w:rsidRDefault="004F2CBD" w:rsidP="004F2CBD">
      <w:pPr>
        <w:widowControl/>
        <w:spacing w:before="120" w:after="120"/>
      </w:pPr>
      <w:r>
        <w:t xml:space="preserve">Seven randomised crossover studies were included in the body of evidence for the effect of lower carbohydrate electrolyte drinks on rehydration compared to electrolyte drinks with the currently permitted levels of carbohydrate. Subjects exercised for approximately one hour or until a body weight loss of approximately 2% was achieved. In general, beverages were consumed following exercise and the effects on recovery from dehydration were considered. However, one study observed the effects of electrolyte drinks on preventing dehydration when drinks were consumed during exercise. </w:t>
      </w:r>
    </w:p>
    <w:p w14:paraId="6661EA99" w14:textId="77777777" w:rsidR="004F2CBD" w:rsidRDefault="004F2CBD" w:rsidP="004F2CBD">
      <w:pPr>
        <w:widowControl/>
        <w:spacing w:before="120" w:after="120"/>
      </w:pPr>
      <w:r>
        <w:t xml:space="preserve">Four randomised crossover studies were considered as evidence for the effect of lower carbohydrate electrolyte drinks on exercise performance compared to electrolyte drinks with higher carbohydrate concentrations. Participants exercised for between 60 and 120 minutes while consuming electrolyte drinks with a carbohydrate content of 2 to 10%. Exercise performance was measured in terms of time to exhaustion or time trial following exercise of approximately one hour. </w:t>
      </w:r>
    </w:p>
    <w:p w14:paraId="5571D569" w14:textId="77777777" w:rsidR="004F2CBD" w:rsidRDefault="004F2CBD" w:rsidP="004F2CBD">
      <w:pPr>
        <w:widowControl/>
        <w:spacing w:before="120" w:after="120"/>
      </w:pPr>
      <w:r>
        <w:t>A number of limitations in study design were identified in the body of evidence including the lack of blinding of participants and investigators in some studies, small sample size, as well as the reliability of hydration markers which may have made differences in drink composition difficult to detect.</w:t>
      </w:r>
    </w:p>
    <w:p w14:paraId="1DF3A51A" w14:textId="684DC891" w:rsidR="002C1A3B" w:rsidRPr="004F2CBD" w:rsidRDefault="00033143" w:rsidP="004F2CBD">
      <w:pPr>
        <w:widowControl/>
        <w:spacing w:before="120" w:after="120"/>
        <w:rPr>
          <w:lang w:eastAsia="en-AU" w:bidi="ar-SA"/>
        </w:rPr>
      </w:pPr>
      <w:r>
        <w:t>It was</w:t>
      </w:r>
      <w:r w:rsidR="004F2CBD">
        <w:t xml:space="preserve"> concluded that based on the available evidence no clear difference between lower carbohydrate electrolyte drinks and those that are currently permitted in the Code were observed in terms of benefit on rehydration or </w:t>
      </w:r>
      <w:r w:rsidR="004F2CBD" w:rsidRPr="00E66CFF">
        <w:t>enhancing exercise performance</w:t>
      </w:r>
      <w:r w:rsidR="004F2CBD">
        <w:t xml:space="preserve"> when consumed during or on completion of sustained exercise (</w:t>
      </w:r>
      <w:r w:rsidR="004F2CBD">
        <w:rPr>
          <w:rFonts w:cs="Arial"/>
        </w:rPr>
        <w:t xml:space="preserve">at least </w:t>
      </w:r>
      <w:r w:rsidR="004F2CBD">
        <w:t xml:space="preserve">60 minutes or 2% body weight loss). </w:t>
      </w:r>
      <w:r w:rsidR="00973D82">
        <w:t xml:space="preserve">The </w:t>
      </w:r>
      <w:r>
        <w:t xml:space="preserve">full </w:t>
      </w:r>
      <w:r w:rsidR="00973D82">
        <w:t>assessment is included at Supporting Document 1 (SD1).</w:t>
      </w:r>
    </w:p>
    <w:p w14:paraId="27119A08" w14:textId="301B3D90" w:rsidR="002C1A3B" w:rsidRPr="00932F14" w:rsidRDefault="002C1A3B" w:rsidP="007B4B2D">
      <w:pPr>
        <w:pStyle w:val="Heading2"/>
        <w:spacing w:after="120"/>
      </w:pPr>
      <w:bookmarkStart w:id="112" w:name="_Toc370223473"/>
      <w:bookmarkStart w:id="113" w:name="_Toc370225388"/>
      <w:bookmarkStart w:id="114" w:name="_Toc100829769"/>
      <w:bookmarkStart w:id="115" w:name="_Toc103090811"/>
      <w:bookmarkStart w:id="116" w:name="_Toc103197703"/>
      <w:bookmarkStart w:id="117" w:name="_Toc175381450"/>
      <w:bookmarkEnd w:id="108"/>
      <w:bookmarkEnd w:id="109"/>
      <w:r>
        <w:t>2.</w:t>
      </w:r>
      <w:r w:rsidR="00C76679">
        <w:t>4</w:t>
      </w:r>
      <w:r>
        <w:tab/>
        <w:t>Risk management</w:t>
      </w:r>
      <w:bookmarkEnd w:id="112"/>
      <w:bookmarkEnd w:id="113"/>
      <w:bookmarkEnd w:id="114"/>
      <w:bookmarkEnd w:id="115"/>
      <w:bookmarkEnd w:id="116"/>
    </w:p>
    <w:p w14:paraId="2B4DC62F" w14:textId="17CC960E" w:rsidR="004F2CBD" w:rsidRPr="00FF5369" w:rsidRDefault="00C76679" w:rsidP="00FF5369">
      <w:pPr>
        <w:pStyle w:val="Heading3"/>
      </w:pPr>
      <w:bookmarkStart w:id="118" w:name="_Toc100829770"/>
      <w:bookmarkStart w:id="119" w:name="_Toc103090812"/>
      <w:bookmarkStart w:id="120" w:name="_Toc103197704"/>
      <w:r w:rsidRPr="00FF5369">
        <w:t>2.4</w:t>
      </w:r>
      <w:r w:rsidR="00302104" w:rsidRPr="00FF5369">
        <w:t>.1</w:t>
      </w:r>
      <w:r w:rsidR="00302104" w:rsidRPr="00FF5369">
        <w:tab/>
        <w:t>Code p</w:t>
      </w:r>
      <w:r w:rsidR="004F2CBD" w:rsidRPr="00FF5369">
        <w:t>lacement</w:t>
      </w:r>
      <w:bookmarkEnd w:id="118"/>
      <w:bookmarkEnd w:id="119"/>
      <w:bookmarkEnd w:id="120"/>
      <w:r w:rsidR="004F2CBD" w:rsidRPr="00FF5369">
        <w:t xml:space="preserve"> </w:t>
      </w:r>
    </w:p>
    <w:p w14:paraId="76EC57E2" w14:textId="790862CD" w:rsidR="00D95C5C" w:rsidRPr="00D47D20" w:rsidRDefault="00F8314C" w:rsidP="00D95C5C">
      <w:pPr>
        <w:pStyle w:val="Heading4"/>
        <w:keepNext w:val="0"/>
        <w:widowControl/>
        <w:spacing w:before="120" w:after="120"/>
        <w:rPr>
          <w:b w:val="0"/>
          <w:lang w:eastAsia="en-AU"/>
        </w:rPr>
      </w:pPr>
      <w:r w:rsidRPr="00D47D20">
        <w:rPr>
          <w:b w:val="0"/>
          <w:lang w:eastAsia="en-AU"/>
        </w:rPr>
        <w:t>Proposed a</w:t>
      </w:r>
      <w:r w:rsidR="00D95C5C" w:rsidRPr="00D47D20">
        <w:rPr>
          <w:b w:val="0"/>
          <w:lang w:eastAsia="en-AU"/>
        </w:rPr>
        <w:t xml:space="preserve">pproach in 2014 </w:t>
      </w:r>
    </w:p>
    <w:p w14:paraId="63F47FE5" w14:textId="2AED6FDA" w:rsidR="00D95C5C" w:rsidRDefault="00D95C5C" w:rsidP="00D95C5C">
      <w:pPr>
        <w:spacing w:before="120" w:after="120"/>
      </w:pPr>
      <w:bookmarkStart w:id="121" w:name="_Toc60760242"/>
      <w:r>
        <w:t>The draft variation prepared in 2014 transferred the regulation of electrolyte drinks from Standard 2.6.2, a general commodity standard, to a special purpose food standard, Standard 2.9.4 (see drafting at Attachment D)</w:t>
      </w:r>
      <w:r w:rsidRPr="0023479A">
        <w:t>.</w:t>
      </w:r>
      <w:r>
        <w:t xml:space="preserve"> This was based on FSANZ</w:t>
      </w:r>
      <w:r w:rsidR="00812FD3">
        <w:t>’s</w:t>
      </w:r>
      <w:r>
        <w:t xml:space="preserve"> assessment </w:t>
      </w:r>
      <w:r w:rsidR="00F8314C">
        <w:t xml:space="preserve">at </w:t>
      </w:r>
      <w:r>
        <w:t>that time</w:t>
      </w:r>
      <w:r w:rsidR="00812FD3">
        <w:t>,</w:t>
      </w:r>
      <w:r>
        <w:t xml:space="preserve"> that</w:t>
      </w:r>
      <w:r w:rsidR="00F8314C">
        <w:t xml:space="preserve"> such a </w:t>
      </w:r>
      <w:r>
        <w:t>transfer recognise</w:t>
      </w:r>
      <w:r w:rsidR="00F8314C">
        <w:t>d</w:t>
      </w:r>
      <w:r>
        <w:t xml:space="preserve"> and emphasise</w:t>
      </w:r>
      <w:r w:rsidR="00F8314C">
        <w:t>d</w:t>
      </w:r>
      <w:r>
        <w:t xml:space="preserve"> the product’s special purpose in accordance with its regulatory definition</w:t>
      </w:r>
      <w:r w:rsidR="00F8314C">
        <w:t>,</w:t>
      </w:r>
      <w:r>
        <w:t xml:space="preserve"> while noting it was a preliminary step prior to the</w:t>
      </w:r>
      <w:r w:rsidR="00F8314C">
        <w:t xml:space="preserve"> wider</w:t>
      </w:r>
      <w:r>
        <w:t xml:space="preserve"> review of Standard 2.9.4.</w:t>
      </w:r>
      <w:bookmarkEnd w:id="121"/>
      <w:r>
        <w:t xml:space="preserve"> </w:t>
      </w:r>
    </w:p>
    <w:p w14:paraId="282E5F6A" w14:textId="77777777" w:rsidR="00E82F9E" w:rsidRDefault="00F8314C" w:rsidP="00D95C5C">
      <w:pPr>
        <w:widowControl/>
        <w:spacing w:before="120" w:after="120"/>
      </w:pPr>
      <w:bookmarkStart w:id="122" w:name="_Toc60760243"/>
      <w:r>
        <w:t>FSANZ received mixed support from s</w:t>
      </w:r>
      <w:r w:rsidR="00D95C5C">
        <w:t xml:space="preserve">ubmitters </w:t>
      </w:r>
      <w:r>
        <w:t>in 2014. Submission</w:t>
      </w:r>
      <w:r w:rsidR="00E82F9E">
        <w:t>s</w:t>
      </w:r>
      <w:r>
        <w:t xml:space="preserve"> cited </w:t>
      </w:r>
      <w:r w:rsidR="00D95C5C">
        <w:t xml:space="preserve">either consistency with electrolyte drinks as a special purpose food; or if a special purpose food, it </w:t>
      </w:r>
      <w:r w:rsidR="00D95C5C">
        <w:lastRenderedPageBreak/>
        <w:t>would exempt electrolyte drinks from Health Star Rating graphics and be inconsistent with current marketing and promotion approaches.</w:t>
      </w:r>
      <w:bookmarkEnd w:id="122"/>
      <w:r w:rsidR="00D95C5C">
        <w:t xml:space="preserve"> </w:t>
      </w:r>
    </w:p>
    <w:p w14:paraId="39D8ABD8" w14:textId="12933AA8" w:rsidR="00F8314C" w:rsidRDefault="00D95C5C" w:rsidP="00D95C5C">
      <w:pPr>
        <w:widowControl/>
        <w:spacing w:before="120" w:after="120"/>
      </w:pPr>
      <w:r w:rsidRPr="00890D35">
        <w:t>Two jurisdictions supported the transfer of</w:t>
      </w:r>
      <w:r>
        <w:t xml:space="preserve"> electrolyte drink </w:t>
      </w:r>
      <w:r w:rsidRPr="00890D35">
        <w:t xml:space="preserve">regulations to Standard 2.9.4. </w:t>
      </w:r>
      <w:r w:rsidR="00F8314C">
        <w:t>Some</w:t>
      </w:r>
      <w:r w:rsidRPr="00890D35">
        <w:t xml:space="preserve"> jurisdictions </w:t>
      </w:r>
      <w:r w:rsidR="00F8314C">
        <w:t xml:space="preserve">questioned the need for such a transfer pending the </w:t>
      </w:r>
      <w:r w:rsidRPr="00890D35">
        <w:t xml:space="preserve">comprehensive review of Standard 2.9.4 </w:t>
      </w:r>
      <w:r w:rsidR="00E82F9E">
        <w:t>that</w:t>
      </w:r>
      <w:r w:rsidRPr="00890D35">
        <w:t xml:space="preserve"> </w:t>
      </w:r>
      <w:r w:rsidR="00F8314C">
        <w:t>would consider that Standard’s application to</w:t>
      </w:r>
      <w:r w:rsidRPr="00890D35">
        <w:t xml:space="preserve"> </w:t>
      </w:r>
      <w:r>
        <w:t>electrolyte drinks.</w:t>
      </w:r>
      <w:r w:rsidRPr="00890D35">
        <w:t xml:space="preserve"> One jurisdiction noted </w:t>
      </w:r>
      <w:r w:rsidR="00F8314C">
        <w:t>regulation of</w:t>
      </w:r>
      <w:r>
        <w:t xml:space="preserve"> electrolyte drink</w:t>
      </w:r>
      <w:r w:rsidR="00E82F9E">
        <w:t>s</w:t>
      </w:r>
      <w:r w:rsidRPr="00890D35">
        <w:t xml:space="preserve"> </w:t>
      </w:r>
      <w:r w:rsidR="00F8314C">
        <w:t>by</w:t>
      </w:r>
      <w:r w:rsidRPr="00890D35">
        <w:t xml:space="preserve"> Standard 2.9.4 would not reflect the actual range of population</w:t>
      </w:r>
      <w:r w:rsidR="00E82F9E">
        <w:t xml:space="preserve"> usage</w:t>
      </w:r>
      <w:r w:rsidR="00F8314C">
        <w:t xml:space="preserve">. </w:t>
      </w:r>
      <w:r w:rsidR="00F8314C" w:rsidRPr="00890D35">
        <w:t xml:space="preserve">All jurisdictions </w:t>
      </w:r>
      <w:r w:rsidR="00F8314C">
        <w:t>stressed the need for any regulatory change</w:t>
      </w:r>
      <w:r w:rsidR="00F8314C" w:rsidRPr="00890D35">
        <w:t xml:space="preserve"> </w:t>
      </w:r>
      <w:r w:rsidR="00F8314C">
        <w:t>to</w:t>
      </w:r>
      <w:r w:rsidR="00F8314C" w:rsidRPr="00890D35">
        <w:t xml:space="preserve"> be underpinned by a robust scientific evidence base. </w:t>
      </w:r>
    </w:p>
    <w:p w14:paraId="0425A908" w14:textId="57C1A916" w:rsidR="00F8314C" w:rsidRPr="00D47D20" w:rsidRDefault="00F8314C" w:rsidP="00F8314C">
      <w:pPr>
        <w:pStyle w:val="Heading4"/>
        <w:keepNext w:val="0"/>
        <w:widowControl/>
        <w:spacing w:before="120" w:after="120"/>
        <w:rPr>
          <w:b w:val="0"/>
          <w:lang w:eastAsia="en-AU"/>
        </w:rPr>
      </w:pPr>
      <w:r w:rsidRPr="00D47D20">
        <w:rPr>
          <w:b w:val="0"/>
          <w:lang w:eastAsia="en-AU"/>
        </w:rPr>
        <w:t>Proposed approach and amendments in 2021</w:t>
      </w:r>
    </w:p>
    <w:p w14:paraId="6EE340BA" w14:textId="5CEEA658" w:rsidR="00F8314C" w:rsidRDefault="00F8314C" w:rsidP="00F8314C">
      <w:pPr>
        <w:widowControl/>
        <w:spacing w:before="120" w:after="120"/>
      </w:pPr>
      <w:bookmarkStart w:id="123" w:name="_Toc60760244"/>
      <w:bookmarkStart w:id="124" w:name="_Toc60825000"/>
      <w:r>
        <w:t>The 2021 Consultation Paper proposed amending the 2014 draft variation to retain the regulation of electrolyte drinks by Standard 2.6.2</w:t>
      </w:r>
      <w:r w:rsidRPr="0080457A">
        <w:t>.</w:t>
      </w:r>
      <w:bookmarkEnd w:id="123"/>
      <w:bookmarkEnd w:id="124"/>
      <w:r w:rsidRPr="0080457A">
        <w:t xml:space="preserve"> </w:t>
      </w:r>
      <w:r>
        <w:t xml:space="preserve">It was noted transfer of these provisions to Standard 2.9.4 and the reclassification of electrolyte drinks as special purpose foods, if required, may be further considered as part of the </w:t>
      </w:r>
      <w:r w:rsidR="00D30B74">
        <w:t>review of sports foods (P</w:t>
      </w:r>
      <w:r w:rsidR="00E74FAB">
        <w:t>roposal P</w:t>
      </w:r>
      <w:r w:rsidR="00D30B74">
        <w:t>1010).</w:t>
      </w:r>
      <w:r w:rsidRPr="0080457A">
        <w:t xml:space="preserve"> </w:t>
      </w:r>
    </w:p>
    <w:p w14:paraId="0FBF2E6B" w14:textId="6C6BBA11" w:rsidR="00D05DF0" w:rsidRDefault="00D906AD" w:rsidP="00D05DF0">
      <w:pPr>
        <w:widowControl/>
        <w:spacing w:before="120" w:after="120"/>
      </w:pPr>
      <w:r>
        <w:t>In responding to the 2021 Consultation Paper</w:t>
      </w:r>
      <w:r w:rsidR="004F2CBD">
        <w:t xml:space="preserve">, </w:t>
      </w:r>
      <w:r w:rsidR="00864038">
        <w:t xml:space="preserve">the </w:t>
      </w:r>
      <w:r w:rsidR="004F2CBD">
        <w:t>industry sector, with the exception of one submitte</w:t>
      </w:r>
      <w:r w:rsidR="00A4171C">
        <w:t>r, supported the retention of electrolyte drink</w:t>
      </w:r>
      <w:r w:rsidR="004F2CBD">
        <w:t xml:space="preserve">s within Standard 2.6.2. Submitters representing the public health sector also supported the continuation of the regulation of </w:t>
      </w:r>
      <w:r w:rsidR="00A4171C">
        <w:t>electrolyte drink</w:t>
      </w:r>
      <w:r w:rsidR="004F2CBD">
        <w:t xml:space="preserve">s under Standard 2.6.2, </w:t>
      </w:r>
      <w:r w:rsidR="00BA3882">
        <w:t xml:space="preserve">while </w:t>
      </w:r>
      <w:r w:rsidR="004F2CBD">
        <w:t xml:space="preserve">acknowledging a move to Standard 2.9.4 can be further considered under Proposal P1010. In contrast, </w:t>
      </w:r>
      <w:r w:rsidR="00BA3882">
        <w:t>comments received from</w:t>
      </w:r>
      <w:r w:rsidR="004F2CBD">
        <w:t xml:space="preserve"> government submitters </w:t>
      </w:r>
      <w:r w:rsidR="00BA3882">
        <w:t xml:space="preserve">were </w:t>
      </w:r>
      <w:r w:rsidR="004F2CBD">
        <w:t>not support</w:t>
      </w:r>
      <w:r w:rsidR="00BA3882">
        <w:t>ive of</w:t>
      </w:r>
      <w:r w:rsidR="004F2CBD">
        <w:t xml:space="preserve"> the proposed approach, and requested </w:t>
      </w:r>
      <w:r w:rsidR="00A4171C">
        <w:t>electrolyte drink</w:t>
      </w:r>
      <w:r w:rsidR="004F2CBD">
        <w:t xml:space="preserve"> provisions be aligned with Standard</w:t>
      </w:r>
      <w:r w:rsidR="00BA3882">
        <w:t> </w:t>
      </w:r>
      <w:r w:rsidR="004F2CBD">
        <w:t xml:space="preserve">2.9.4. </w:t>
      </w:r>
    </w:p>
    <w:p w14:paraId="6AAF2156" w14:textId="0F35D444" w:rsidR="000E6CCB" w:rsidRPr="00D47D20" w:rsidRDefault="000E6CCB" w:rsidP="00D05DF0">
      <w:pPr>
        <w:widowControl/>
        <w:spacing w:before="120" w:after="120"/>
        <w:rPr>
          <w:i/>
        </w:rPr>
      </w:pPr>
      <w:r w:rsidRPr="00D47D20">
        <w:rPr>
          <w:i/>
        </w:rPr>
        <w:t>FSANZ’s decision</w:t>
      </w:r>
    </w:p>
    <w:p w14:paraId="0BE5791F" w14:textId="539F57EC" w:rsidR="004F2CBD" w:rsidRDefault="000E6CCB" w:rsidP="00D05DF0">
      <w:pPr>
        <w:widowControl/>
        <w:spacing w:before="120" w:after="120"/>
      </w:pPr>
      <w:r>
        <w:t>After consideration of submissions, FSANZ’s position remained that</w:t>
      </w:r>
      <w:r w:rsidR="004F2CBD">
        <w:t xml:space="preserve"> Standard 2.6.2 </w:t>
      </w:r>
      <w:r>
        <w:t>is</w:t>
      </w:r>
      <w:r w:rsidR="004F2CBD" w:rsidDel="00F71577">
        <w:t xml:space="preserve"> </w:t>
      </w:r>
      <w:r w:rsidR="00F71577">
        <w:t xml:space="preserve">the </w:t>
      </w:r>
      <w:r w:rsidR="004F2CBD">
        <w:t>appropriate location</w:t>
      </w:r>
      <w:r>
        <w:t xml:space="preserve"> in the Code</w:t>
      </w:r>
      <w:r w:rsidR="004F2CBD">
        <w:t xml:space="preserve"> for </w:t>
      </w:r>
      <w:r w:rsidR="00A4171C">
        <w:t>electrolyte drink</w:t>
      </w:r>
      <w:r w:rsidR="004F2CBD">
        <w:t xml:space="preserve"> permissions </w:t>
      </w:r>
      <w:r>
        <w:t>at this time</w:t>
      </w:r>
      <w:r w:rsidR="004F2CBD">
        <w:t xml:space="preserve">. </w:t>
      </w:r>
      <w:r>
        <w:t>As noted above,</w:t>
      </w:r>
      <w:r w:rsidR="004F2CBD">
        <w:t xml:space="preserve"> transfer to Standard 2.9.4 and reclassification of </w:t>
      </w:r>
      <w:r w:rsidR="00A4171C">
        <w:t>electrolyte drink</w:t>
      </w:r>
      <w:r w:rsidR="004F2CBD">
        <w:t>s as special purpose foods</w:t>
      </w:r>
      <w:r>
        <w:t xml:space="preserve"> as part of </w:t>
      </w:r>
      <w:r w:rsidR="00534593">
        <w:t xml:space="preserve">Proposal </w:t>
      </w:r>
      <w:r>
        <w:t>P1010 remains an option</w:t>
      </w:r>
      <w:r w:rsidR="004F2CBD">
        <w:t xml:space="preserve">. </w:t>
      </w:r>
      <w:r w:rsidR="00A35053">
        <w:t xml:space="preserve">Given the complexity of issues to be assessed under P1010, sufficient time will be required to complete </w:t>
      </w:r>
      <w:r w:rsidR="00D64006">
        <w:t>that Proposal</w:t>
      </w:r>
      <w:r w:rsidR="004F2CBD">
        <w:t xml:space="preserve">. </w:t>
      </w:r>
    </w:p>
    <w:p w14:paraId="33693324" w14:textId="7BBBAE48" w:rsidR="004F2CBD" w:rsidRDefault="00C76679" w:rsidP="007B4B2D">
      <w:pPr>
        <w:pStyle w:val="Heading3"/>
        <w:spacing w:after="120"/>
        <w:rPr>
          <w:b w:val="0"/>
        </w:rPr>
      </w:pPr>
      <w:bookmarkStart w:id="125" w:name="_Toc100829771"/>
      <w:bookmarkStart w:id="126" w:name="_Toc103197705"/>
      <w:bookmarkStart w:id="127" w:name="_Toc103090813"/>
      <w:r>
        <w:t>2.4</w:t>
      </w:r>
      <w:r w:rsidR="004F2CBD" w:rsidRPr="000735DD">
        <w:t>.2</w:t>
      </w:r>
      <w:r w:rsidR="000735DD" w:rsidRPr="000735DD">
        <w:tab/>
      </w:r>
      <w:r w:rsidR="004F2CBD" w:rsidRPr="000735DD">
        <w:t>Definition</w:t>
      </w:r>
      <w:bookmarkEnd w:id="125"/>
      <w:bookmarkEnd w:id="126"/>
      <w:r w:rsidR="004F2CBD" w:rsidRPr="003244D8">
        <w:rPr>
          <w:b w:val="0"/>
        </w:rPr>
        <w:t xml:space="preserve"> </w:t>
      </w:r>
      <w:bookmarkEnd w:id="127"/>
    </w:p>
    <w:p w14:paraId="0AE5D227" w14:textId="54988AEB" w:rsidR="00D47D20" w:rsidRPr="0034053B" w:rsidRDefault="00D47D20" w:rsidP="00D47D20">
      <w:pPr>
        <w:pStyle w:val="Heading4"/>
        <w:keepNext w:val="0"/>
        <w:widowControl/>
        <w:spacing w:before="120" w:after="120"/>
        <w:rPr>
          <w:b w:val="0"/>
          <w:lang w:eastAsia="en-AU"/>
        </w:rPr>
      </w:pPr>
      <w:r>
        <w:rPr>
          <w:b w:val="0"/>
          <w:lang w:eastAsia="en-AU"/>
        </w:rPr>
        <w:t>Current definition</w:t>
      </w:r>
    </w:p>
    <w:p w14:paraId="46A43587" w14:textId="48A75BCA" w:rsidR="00D01CAA" w:rsidRDefault="00D01CAA" w:rsidP="00D47D20">
      <w:pPr>
        <w:widowControl/>
        <w:spacing w:before="120" w:after="120"/>
        <w:rPr>
          <w:lang w:eastAsia="en-AU" w:bidi="ar-SA"/>
        </w:rPr>
      </w:pPr>
      <w:r>
        <w:rPr>
          <w:lang w:eastAsia="en-AU" w:bidi="ar-SA"/>
        </w:rPr>
        <w:t>The current definition of ‘electrolyte drink’ in section 1.1.2—3 is:</w:t>
      </w:r>
    </w:p>
    <w:p w14:paraId="24A648D9" w14:textId="77777777" w:rsidR="00D01CAA" w:rsidRPr="00781C67" w:rsidRDefault="00D01CAA" w:rsidP="00D01CAA">
      <w:pPr>
        <w:widowControl/>
        <w:spacing w:before="120" w:after="120"/>
        <w:ind w:left="567"/>
        <w:rPr>
          <w:lang w:eastAsia="en-AU" w:bidi="ar-SA"/>
        </w:rPr>
      </w:pPr>
      <w:r w:rsidRPr="0064124A">
        <w:rPr>
          <w:b/>
        </w:rPr>
        <w:t>electrolyte</w:t>
      </w:r>
      <w:r w:rsidRPr="0064124A">
        <w:t xml:space="preserve"> </w:t>
      </w:r>
      <w:r w:rsidRPr="0064124A">
        <w:rPr>
          <w:b/>
        </w:rPr>
        <w:t>drink</w:t>
      </w:r>
      <w:r w:rsidRPr="0064124A">
        <w:t xml:space="preserve"> </w:t>
      </w:r>
      <w:r w:rsidRPr="00781C67">
        <w:t xml:space="preserve">means </w:t>
      </w:r>
      <w:r w:rsidRPr="00781C67">
        <w:rPr>
          <w:lang w:eastAsia="en-AU" w:bidi="ar-SA"/>
        </w:rPr>
        <w:t xml:space="preserve">a drink formulated and represented as suitable for the rapid replacement of fluid, carbohydrates, electrolytes and minerals. </w:t>
      </w:r>
    </w:p>
    <w:p w14:paraId="047CB86D" w14:textId="618E2310" w:rsidR="00D47D20" w:rsidRPr="00D47D20" w:rsidRDefault="00D47D20" w:rsidP="00D01CAA">
      <w:pPr>
        <w:pStyle w:val="Definition"/>
        <w:widowControl/>
        <w:spacing w:before="120" w:after="120"/>
        <w:ind w:left="0" w:firstLine="0"/>
        <w:rPr>
          <w:i/>
          <w:sz w:val="22"/>
          <w:lang w:eastAsia="en-AU" w:bidi="ar-SA"/>
        </w:rPr>
      </w:pPr>
      <w:r w:rsidRPr="00D47D20">
        <w:rPr>
          <w:i/>
          <w:sz w:val="22"/>
          <w:lang w:eastAsia="en-AU" w:bidi="ar-SA"/>
        </w:rPr>
        <w:t>Proposed approach in 2014</w:t>
      </w:r>
    </w:p>
    <w:p w14:paraId="1A456747" w14:textId="329475EC" w:rsidR="00D01CAA" w:rsidRPr="0064124A" w:rsidRDefault="00D01CAA" w:rsidP="00D01CAA">
      <w:pPr>
        <w:pStyle w:val="Definition"/>
        <w:widowControl/>
        <w:spacing w:before="120" w:after="120"/>
        <w:ind w:left="0" w:firstLine="0"/>
        <w:rPr>
          <w:sz w:val="22"/>
          <w:lang w:eastAsia="en-AU" w:bidi="ar-SA"/>
        </w:rPr>
      </w:pPr>
      <w:r w:rsidRPr="0064124A">
        <w:rPr>
          <w:sz w:val="22"/>
          <w:lang w:eastAsia="en-AU" w:bidi="ar-SA"/>
        </w:rPr>
        <w:t xml:space="preserve">The </w:t>
      </w:r>
      <w:r>
        <w:rPr>
          <w:sz w:val="22"/>
          <w:lang w:eastAsia="en-AU" w:bidi="ar-SA"/>
        </w:rPr>
        <w:t>drafted variation prepared</w:t>
      </w:r>
      <w:r w:rsidRPr="0064124A">
        <w:rPr>
          <w:sz w:val="22"/>
          <w:lang w:eastAsia="en-AU" w:bidi="ar-SA"/>
        </w:rPr>
        <w:t xml:space="preserve"> </w:t>
      </w:r>
      <w:r>
        <w:rPr>
          <w:sz w:val="22"/>
          <w:lang w:eastAsia="en-AU" w:bidi="ar-SA"/>
        </w:rPr>
        <w:t>in 2014 proposed the following definition</w:t>
      </w:r>
      <w:r w:rsidRPr="0064124A">
        <w:rPr>
          <w:sz w:val="22"/>
          <w:lang w:eastAsia="en-AU" w:bidi="ar-SA"/>
        </w:rPr>
        <w:t>:</w:t>
      </w:r>
    </w:p>
    <w:p w14:paraId="7397DC57" w14:textId="77777777" w:rsidR="00D01CAA" w:rsidRDefault="00D01CAA" w:rsidP="00D01CAA">
      <w:pPr>
        <w:pStyle w:val="Definition"/>
        <w:widowControl/>
        <w:spacing w:before="120" w:after="120"/>
        <w:ind w:left="567" w:firstLine="0"/>
        <w:rPr>
          <w:sz w:val="22"/>
        </w:rPr>
      </w:pPr>
      <w:r w:rsidRPr="0064124A">
        <w:rPr>
          <w:b/>
          <w:sz w:val="22"/>
        </w:rPr>
        <w:t>electrolyte</w:t>
      </w:r>
      <w:r w:rsidRPr="0064124A">
        <w:rPr>
          <w:sz w:val="22"/>
        </w:rPr>
        <w:t xml:space="preserve"> </w:t>
      </w:r>
      <w:r w:rsidRPr="0064124A">
        <w:rPr>
          <w:b/>
          <w:sz w:val="22"/>
        </w:rPr>
        <w:t>drink</w:t>
      </w:r>
      <w:r w:rsidRPr="0064124A">
        <w:rPr>
          <w:sz w:val="22"/>
        </w:rPr>
        <w:t xml:space="preserve"> means a drink formulated for the rapid replacement of fluid, carbohydrates and electrolytes lost as a result of sustained strenuous physical activity.</w:t>
      </w:r>
    </w:p>
    <w:p w14:paraId="23ECF5BC" w14:textId="6CE84526" w:rsidR="00D01CAA" w:rsidRDefault="00D01CAA" w:rsidP="00D01CAA">
      <w:pPr>
        <w:widowControl/>
        <w:spacing w:before="120" w:after="120"/>
        <w:rPr>
          <w:lang w:eastAsia="en-AU" w:bidi="ar-SA"/>
        </w:rPr>
      </w:pPr>
      <w:r>
        <w:rPr>
          <w:lang w:eastAsia="en-AU" w:bidi="ar-SA"/>
        </w:rPr>
        <w:t xml:space="preserve">FSANZ’s assessment </w:t>
      </w:r>
      <w:r w:rsidR="005B036E">
        <w:rPr>
          <w:lang w:eastAsia="en-AU" w:bidi="ar-SA"/>
        </w:rPr>
        <w:t xml:space="preserve">in 2014 </w:t>
      </w:r>
      <w:r>
        <w:rPr>
          <w:lang w:eastAsia="en-AU" w:bidi="ar-SA"/>
        </w:rPr>
        <w:t>was that the requirement for electrolyte drinks to be ‘represented as’ relied on voluntary labelling including health claims which had become superfluous.</w:t>
      </w:r>
      <w:r w:rsidR="005B036E">
        <w:rPr>
          <w:lang w:eastAsia="en-AU" w:bidi="ar-SA"/>
        </w:rPr>
        <w:t xml:space="preserve"> FSANZ’s position was that the draft variation’s </w:t>
      </w:r>
      <w:r>
        <w:rPr>
          <w:lang w:eastAsia="en-AU" w:bidi="ar-SA"/>
        </w:rPr>
        <w:t xml:space="preserve">definition strengthened the association of consumption of electrolyte drinks with their intended purpose for use in relation to sustained strenuous physical activity. </w:t>
      </w:r>
    </w:p>
    <w:p w14:paraId="549BF826" w14:textId="0117003F" w:rsidR="00D01CAA" w:rsidRPr="00103103" w:rsidRDefault="005B036E" w:rsidP="00D01CAA">
      <w:pPr>
        <w:widowControl/>
        <w:spacing w:before="120" w:after="120"/>
        <w:rPr>
          <w:lang w:eastAsia="en-AU" w:bidi="ar-SA"/>
        </w:rPr>
      </w:pPr>
      <w:r>
        <w:rPr>
          <w:lang w:eastAsia="en-AU" w:bidi="ar-SA"/>
        </w:rPr>
        <w:t>FSANZ also removed</w:t>
      </w:r>
      <w:r w:rsidR="00D01CAA">
        <w:rPr>
          <w:lang w:eastAsia="en-AU" w:bidi="ar-SA"/>
        </w:rPr>
        <w:t xml:space="preserve"> </w:t>
      </w:r>
      <w:r w:rsidR="00D01CAA" w:rsidRPr="008F17CC">
        <w:rPr>
          <w:lang w:eastAsia="en-AU" w:bidi="ar-SA"/>
        </w:rPr>
        <w:t xml:space="preserve">the reference to minerals </w:t>
      </w:r>
      <w:r w:rsidRPr="00D47D20">
        <w:rPr>
          <w:lang w:eastAsia="en-AU" w:bidi="ar-SA"/>
        </w:rPr>
        <w:t xml:space="preserve">from the </w:t>
      </w:r>
      <w:r w:rsidRPr="008F17CC">
        <w:rPr>
          <w:lang w:eastAsia="en-AU" w:bidi="ar-SA"/>
        </w:rPr>
        <w:t xml:space="preserve">draft </w:t>
      </w:r>
      <w:r>
        <w:rPr>
          <w:lang w:eastAsia="en-AU" w:bidi="ar-SA"/>
        </w:rPr>
        <w:t xml:space="preserve">variation’s definition </w:t>
      </w:r>
      <w:r w:rsidR="00D01CAA">
        <w:rPr>
          <w:lang w:eastAsia="en-AU" w:bidi="ar-SA"/>
        </w:rPr>
        <w:t xml:space="preserve">because </w:t>
      </w:r>
      <w:r>
        <w:rPr>
          <w:lang w:eastAsia="en-AU" w:bidi="ar-SA"/>
        </w:rPr>
        <w:t xml:space="preserve">– at that time - </w:t>
      </w:r>
      <w:r w:rsidR="00D01CAA">
        <w:rPr>
          <w:lang w:eastAsia="en-AU" w:bidi="ar-SA"/>
        </w:rPr>
        <w:t xml:space="preserve">there </w:t>
      </w:r>
      <w:r>
        <w:rPr>
          <w:lang w:eastAsia="en-AU" w:bidi="ar-SA"/>
        </w:rPr>
        <w:t>was</w:t>
      </w:r>
      <w:r w:rsidR="00D01CAA">
        <w:rPr>
          <w:lang w:eastAsia="en-AU" w:bidi="ar-SA"/>
        </w:rPr>
        <w:t xml:space="preserve"> no mandatory compositional requirement to inclu</w:t>
      </w:r>
      <w:r>
        <w:rPr>
          <w:lang w:eastAsia="en-AU" w:bidi="ar-SA"/>
        </w:rPr>
        <w:t>de minerals, other than sodium. Sodium could</w:t>
      </w:r>
      <w:r w:rsidR="00D01CAA">
        <w:rPr>
          <w:lang w:eastAsia="en-AU" w:bidi="ar-SA"/>
        </w:rPr>
        <w:t xml:space="preserve"> be considered as an electrolyte and is </w:t>
      </w:r>
      <w:r>
        <w:rPr>
          <w:lang w:eastAsia="en-AU" w:bidi="ar-SA"/>
        </w:rPr>
        <w:t>treated</w:t>
      </w:r>
      <w:r w:rsidR="00D01CAA">
        <w:rPr>
          <w:lang w:eastAsia="en-AU" w:bidi="ar-SA"/>
        </w:rPr>
        <w:t xml:space="preserve"> as such in certain tables in Schedule S29 – Special purpose foods</w:t>
      </w:r>
      <w:r w:rsidR="00D01CAA" w:rsidRPr="00103103">
        <w:rPr>
          <w:lang w:eastAsia="en-AU" w:bidi="ar-SA"/>
        </w:rPr>
        <w:t>.</w:t>
      </w:r>
    </w:p>
    <w:p w14:paraId="7E8BB540" w14:textId="3A6C1DC9" w:rsidR="00D01CAA" w:rsidRDefault="00D01CAA" w:rsidP="00D01CAA">
      <w:pPr>
        <w:widowControl/>
        <w:spacing w:before="120" w:after="120"/>
      </w:pPr>
      <w:r>
        <w:t xml:space="preserve">Government submitters </w:t>
      </w:r>
      <w:r w:rsidR="000C389A">
        <w:t>in</w:t>
      </w:r>
      <w:r w:rsidR="005B036E">
        <w:t xml:space="preserve"> </w:t>
      </w:r>
      <w:r w:rsidR="000C389A">
        <w:t xml:space="preserve">2014 </w:t>
      </w:r>
      <w:r>
        <w:t>supported the revised definition including those who sought further alignment between the definition and the permitted claim. One</w:t>
      </w:r>
      <w:r w:rsidRPr="00781C67">
        <w:t xml:space="preserve"> industry submitter </w:t>
      </w:r>
      <w:r w:rsidR="000C389A">
        <w:t xml:space="preserve">at that time </w:t>
      </w:r>
      <w:r w:rsidRPr="00781C67">
        <w:t xml:space="preserve">opposed omitting ‘represented as’ </w:t>
      </w:r>
      <w:r>
        <w:t>because</w:t>
      </w:r>
      <w:r w:rsidR="005B036E">
        <w:t xml:space="preserve">, in its view, </w:t>
      </w:r>
      <w:r w:rsidRPr="00781C67">
        <w:t>enforce</w:t>
      </w:r>
      <w:r>
        <w:t>ment</w:t>
      </w:r>
      <w:r w:rsidRPr="00781C67">
        <w:t xml:space="preserve"> would be </w:t>
      </w:r>
      <w:r w:rsidRPr="00781C67">
        <w:lastRenderedPageBreak/>
        <w:t xml:space="preserve">easier for regulators based on labelling representations rather </w:t>
      </w:r>
      <w:r>
        <w:t>the compositional requirements</w:t>
      </w:r>
      <w:r w:rsidRPr="00781C67">
        <w:t>.</w:t>
      </w:r>
    </w:p>
    <w:p w14:paraId="50B54439" w14:textId="5DCCD1F2" w:rsidR="00D01CAA" w:rsidRDefault="000C389A" w:rsidP="00D01CAA">
      <w:pPr>
        <w:widowControl/>
        <w:spacing w:before="120" w:after="120"/>
      </w:pPr>
      <w:r>
        <w:t>Some</w:t>
      </w:r>
      <w:r w:rsidR="00D01CAA">
        <w:t xml:space="preserve"> submitters </w:t>
      </w:r>
      <w:r>
        <w:t xml:space="preserve">in 2014 </w:t>
      </w:r>
      <w:r w:rsidR="00D01CAA">
        <w:t xml:space="preserve">sought definitions of particular terms in the revised definition for: sustained strenuous exercise, rapid replacement, and electrolyte (and in the </w:t>
      </w:r>
      <w:r w:rsidR="00EF4702">
        <w:t xml:space="preserve">Standard </w:t>
      </w:r>
      <w:r w:rsidR="00D01CAA">
        <w:t>2.9.4 context – no longer considered – sports person, and achieving specific nutritional or performance goals).</w:t>
      </w:r>
    </w:p>
    <w:p w14:paraId="07332606" w14:textId="3252163A" w:rsidR="00D47D20" w:rsidRPr="0034053B" w:rsidRDefault="00D47D20" w:rsidP="00D47D20">
      <w:pPr>
        <w:pStyle w:val="Heading4"/>
        <w:keepNext w:val="0"/>
        <w:widowControl/>
        <w:spacing w:before="120" w:after="120"/>
        <w:rPr>
          <w:b w:val="0"/>
          <w:lang w:eastAsia="en-AU"/>
        </w:rPr>
      </w:pPr>
      <w:r w:rsidRPr="0034053B">
        <w:rPr>
          <w:b w:val="0"/>
          <w:lang w:eastAsia="en-AU"/>
        </w:rPr>
        <w:t xml:space="preserve">Proposed approach </w:t>
      </w:r>
      <w:r>
        <w:rPr>
          <w:b w:val="0"/>
          <w:lang w:eastAsia="en-AU"/>
        </w:rPr>
        <w:t xml:space="preserve">and amendments </w:t>
      </w:r>
      <w:r w:rsidRPr="0034053B">
        <w:rPr>
          <w:b w:val="0"/>
          <w:lang w:eastAsia="en-AU"/>
        </w:rPr>
        <w:t xml:space="preserve">in </w:t>
      </w:r>
      <w:r>
        <w:rPr>
          <w:b w:val="0"/>
          <w:lang w:eastAsia="en-AU"/>
        </w:rPr>
        <w:t>2021</w:t>
      </w:r>
      <w:r w:rsidRPr="0034053B">
        <w:rPr>
          <w:b w:val="0"/>
          <w:lang w:eastAsia="en-AU"/>
        </w:rPr>
        <w:t xml:space="preserve"> </w:t>
      </w:r>
    </w:p>
    <w:p w14:paraId="0ACFD559" w14:textId="6CBEB622" w:rsidR="00D01CAA" w:rsidRDefault="000C389A" w:rsidP="00D47D20">
      <w:pPr>
        <w:widowControl/>
        <w:spacing w:before="120" w:after="120"/>
        <w:rPr>
          <w:lang w:eastAsia="en-AU" w:bidi="ar-SA"/>
        </w:rPr>
      </w:pPr>
      <w:r>
        <w:rPr>
          <w:lang w:eastAsia="en-AU" w:bidi="ar-SA"/>
        </w:rPr>
        <w:t>The 2021 Consultation</w:t>
      </w:r>
      <w:r w:rsidR="00D01CAA">
        <w:rPr>
          <w:lang w:eastAsia="en-AU" w:bidi="ar-SA"/>
        </w:rPr>
        <w:t xml:space="preserve"> </w:t>
      </w:r>
      <w:r w:rsidR="00E82F9E">
        <w:rPr>
          <w:lang w:eastAsia="en-AU" w:bidi="ar-SA"/>
        </w:rPr>
        <w:t xml:space="preserve">Paper </w:t>
      </w:r>
      <w:r>
        <w:rPr>
          <w:lang w:eastAsia="en-AU" w:bidi="ar-SA"/>
        </w:rPr>
        <w:t>proposed amending the draft variation’s</w:t>
      </w:r>
      <w:r w:rsidR="00D01CAA">
        <w:rPr>
          <w:lang w:eastAsia="en-AU" w:bidi="ar-SA"/>
        </w:rPr>
        <w:t xml:space="preserve"> definition to reflect additional proposed compositional and labelling changes</w:t>
      </w:r>
      <w:r>
        <w:rPr>
          <w:lang w:eastAsia="en-AU" w:bidi="ar-SA"/>
        </w:rPr>
        <w:t xml:space="preserve"> also proposed in 2021. </w:t>
      </w:r>
      <w:r w:rsidR="00DE3EF7">
        <w:rPr>
          <w:lang w:eastAsia="en-AU" w:bidi="ar-SA"/>
        </w:rPr>
        <w:t xml:space="preserve">The proposed definition in 2021 was: </w:t>
      </w:r>
    </w:p>
    <w:p w14:paraId="62386902" w14:textId="2B4C8B81" w:rsidR="00D01CAA" w:rsidRPr="0064124A" w:rsidRDefault="00D01CAA" w:rsidP="00D01CAA">
      <w:pPr>
        <w:widowControl/>
        <w:spacing w:before="120" w:after="120"/>
        <w:ind w:left="567"/>
        <w:rPr>
          <w:lang w:eastAsia="en-AU" w:bidi="ar-SA"/>
        </w:rPr>
      </w:pPr>
      <w:r w:rsidRPr="0064124A">
        <w:rPr>
          <w:b/>
          <w:i/>
          <w:lang w:eastAsia="en-AU" w:bidi="ar-SA"/>
        </w:rPr>
        <w:t>electrolyte drink</w:t>
      </w:r>
      <w:r w:rsidRPr="0064124A">
        <w:rPr>
          <w:i/>
          <w:lang w:eastAsia="en-AU" w:bidi="ar-SA"/>
        </w:rPr>
        <w:t xml:space="preserve"> means a drink formulated for the rapid replacement of fluid and electrolytes </w:t>
      </w:r>
      <w:r>
        <w:rPr>
          <w:i/>
          <w:lang w:eastAsia="en-AU" w:bidi="ar-SA"/>
        </w:rPr>
        <w:t>during or after</w:t>
      </w:r>
      <w:r w:rsidRPr="0064124A">
        <w:rPr>
          <w:i/>
          <w:lang w:eastAsia="en-AU" w:bidi="ar-SA"/>
        </w:rPr>
        <w:t xml:space="preserve"> 60 minutes </w:t>
      </w:r>
      <w:r>
        <w:rPr>
          <w:i/>
          <w:lang w:eastAsia="en-AU" w:bidi="ar-SA"/>
        </w:rPr>
        <w:t xml:space="preserve">or more of </w:t>
      </w:r>
      <w:r w:rsidRPr="0064124A">
        <w:rPr>
          <w:i/>
          <w:lang w:eastAsia="en-AU" w:bidi="ar-SA"/>
        </w:rPr>
        <w:t>sustained strenuous physical activity</w:t>
      </w:r>
      <w:r w:rsidR="00307CBD">
        <w:rPr>
          <w:rStyle w:val="FootnoteReference"/>
          <w:i/>
          <w:lang w:eastAsia="en-AU" w:bidi="ar-SA"/>
        </w:rPr>
        <w:footnoteReference w:id="9"/>
      </w:r>
      <w:r w:rsidRPr="0064124A">
        <w:rPr>
          <w:i/>
          <w:lang w:eastAsia="en-AU" w:bidi="ar-SA"/>
        </w:rPr>
        <w:t>.</w:t>
      </w:r>
      <w:r w:rsidRPr="0064124A">
        <w:rPr>
          <w:lang w:eastAsia="en-AU" w:bidi="ar-SA"/>
        </w:rPr>
        <w:t xml:space="preserve"> </w:t>
      </w:r>
    </w:p>
    <w:p w14:paraId="62D7D755" w14:textId="66348432" w:rsidR="005B036E" w:rsidRDefault="005B036E" w:rsidP="004F2CBD">
      <w:pPr>
        <w:pStyle w:val="FSTableText"/>
        <w:widowControl/>
        <w:spacing w:before="120" w:after="120"/>
        <w:rPr>
          <w:bCs/>
          <w:color w:val="000000"/>
          <w:sz w:val="22"/>
          <w:szCs w:val="22"/>
          <w:lang w:bidi="ar-SA"/>
        </w:rPr>
      </w:pPr>
      <w:r>
        <w:rPr>
          <w:bCs/>
          <w:color w:val="000000"/>
          <w:sz w:val="22"/>
          <w:szCs w:val="22"/>
          <w:lang w:bidi="ar-SA"/>
        </w:rPr>
        <w:t>This revised definition</w:t>
      </w:r>
      <w:r w:rsidR="004F2CBD">
        <w:rPr>
          <w:bCs/>
          <w:color w:val="000000"/>
          <w:sz w:val="22"/>
          <w:szCs w:val="22"/>
          <w:lang w:bidi="ar-SA"/>
        </w:rPr>
        <w:t xml:space="preserve"> included a number of changes to the</w:t>
      </w:r>
      <w:r>
        <w:rPr>
          <w:bCs/>
          <w:color w:val="000000"/>
          <w:sz w:val="22"/>
          <w:szCs w:val="22"/>
          <w:lang w:bidi="ar-SA"/>
        </w:rPr>
        <w:t xml:space="preserve"> existing</w:t>
      </w:r>
      <w:r w:rsidR="004F2CBD">
        <w:rPr>
          <w:bCs/>
          <w:color w:val="000000"/>
          <w:sz w:val="22"/>
          <w:szCs w:val="22"/>
          <w:lang w:bidi="ar-SA"/>
        </w:rPr>
        <w:t xml:space="preserve"> definition of electrolyte drink. </w:t>
      </w:r>
    </w:p>
    <w:p w14:paraId="77847EA1" w14:textId="42BC5822" w:rsidR="00D01CAA" w:rsidRDefault="005B036E" w:rsidP="004F2CBD">
      <w:pPr>
        <w:pStyle w:val="FSTableText"/>
        <w:widowControl/>
        <w:spacing w:before="120" w:after="120"/>
        <w:rPr>
          <w:bCs/>
          <w:color w:val="000000"/>
          <w:sz w:val="22"/>
          <w:szCs w:val="22"/>
          <w:lang w:bidi="ar-SA"/>
        </w:rPr>
      </w:pPr>
      <w:r>
        <w:rPr>
          <w:bCs/>
          <w:color w:val="000000"/>
          <w:sz w:val="22"/>
          <w:szCs w:val="22"/>
          <w:lang w:bidi="ar-SA"/>
        </w:rPr>
        <w:t xml:space="preserve">Submitters in 2021 generally </w:t>
      </w:r>
      <w:r w:rsidR="00A35053">
        <w:rPr>
          <w:bCs/>
          <w:color w:val="000000"/>
          <w:sz w:val="22"/>
          <w:szCs w:val="22"/>
          <w:lang w:bidi="ar-SA"/>
        </w:rPr>
        <w:t xml:space="preserve">agreed </w:t>
      </w:r>
      <w:r w:rsidR="000B6658">
        <w:rPr>
          <w:bCs/>
          <w:color w:val="000000"/>
          <w:sz w:val="22"/>
          <w:szCs w:val="22"/>
          <w:lang w:bidi="ar-SA"/>
        </w:rPr>
        <w:t>to remove</w:t>
      </w:r>
      <w:r w:rsidR="004F2CBD">
        <w:rPr>
          <w:bCs/>
          <w:color w:val="000000"/>
          <w:sz w:val="22"/>
          <w:szCs w:val="22"/>
          <w:lang w:bidi="ar-SA"/>
        </w:rPr>
        <w:t xml:space="preserve"> the term ‘minerals</w:t>
      </w:r>
      <w:r w:rsidR="00793734">
        <w:rPr>
          <w:bCs/>
          <w:color w:val="000000"/>
          <w:sz w:val="22"/>
          <w:szCs w:val="22"/>
          <w:lang w:bidi="ar-SA"/>
        </w:rPr>
        <w:t>’</w:t>
      </w:r>
      <w:r>
        <w:rPr>
          <w:bCs/>
          <w:color w:val="000000"/>
          <w:sz w:val="22"/>
          <w:szCs w:val="22"/>
          <w:lang w:bidi="ar-SA"/>
        </w:rPr>
        <w:t xml:space="preserve">. However </w:t>
      </w:r>
      <w:r w:rsidR="000B6658">
        <w:rPr>
          <w:bCs/>
          <w:color w:val="000000"/>
          <w:sz w:val="22"/>
          <w:szCs w:val="22"/>
          <w:lang w:bidi="ar-SA"/>
        </w:rPr>
        <w:t>there were mixed views in relation to the other definitional components</w:t>
      </w:r>
      <w:r w:rsidR="00BD2921">
        <w:rPr>
          <w:bCs/>
          <w:color w:val="000000"/>
          <w:sz w:val="22"/>
          <w:szCs w:val="22"/>
          <w:lang w:bidi="ar-SA"/>
        </w:rPr>
        <w:t>,</w:t>
      </w:r>
      <w:r w:rsidR="00A35053">
        <w:rPr>
          <w:bCs/>
          <w:color w:val="000000"/>
          <w:sz w:val="22"/>
          <w:szCs w:val="22"/>
          <w:lang w:bidi="ar-SA"/>
        </w:rPr>
        <w:t xml:space="preserve"> </w:t>
      </w:r>
      <w:r w:rsidR="00CD4A31">
        <w:rPr>
          <w:bCs/>
          <w:color w:val="000000"/>
          <w:sz w:val="22"/>
          <w:szCs w:val="22"/>
          <w:lang w:bidi="ar-SA"/>
        </w:rPr>
        <w:t>as discussed below</w:t>
      </w:r>
      <w:r w:rsidR="000B6658">
        <w:rPr>
          <w:bCs/>
          <w:color w:val="000000"/>
          <w:sz w:val="22"/>
          <w:szCs w:val="22"/>
          <w:lang w:bidi="ar-SA"/>
        </w:rPr>
        <w:t xml:space="preserve">.  </w:t>
      </w:r>
    </w:p>
    <w:p w14:paraId="60E97998" w14:textId="577E4570" w:rsidR="004F2CBD" w:rsidRPr="00FF5369" w:rsidRDefault="004F2CBD" w:rsidP="00FF5369">
      <w:pPr>
        <w:pStyle w:val="Heading4"/>
        <w:rPr>
          <w:rFonts w:eastAsia="Calibri"/>
        </w:rPr>
      </w:pPr>
      <w:r w:rsidRPr="00FF5369">
        <w:rPr>
          <w:rFonts w:eastAsia="Calibri"/>
        </w:rPr>
        <w:t>2.</w:t>
      </w:r>
      <w:r w:rsidR="00C76679" w:rsidRPr="00FF5369">
        <w:rPr>
          <w:rFonts w:eastAsia="Calibri"/>
        </w:rPr>
        <w:t>4</w:t>
      </w:r>
      <w:r w:rsidRPr="00FF5369">
        <w:rPr>
          <w:rFonts w:eastAsia="Calibri"/>
        </w:rPr>
        <w:t>.2.</w:t>
      </w:r>
      <w:r w:rsidR="00C628D2" w:rsidRPr="00FF5369">
        <w:rPr>
          <w:rFonts w:eastAsia="Calibri"/>
        </w:rPr>
        <w:t>1</w:t>
      </w:r>
      <w:r w:rsidRPr="00FF5369">
        <w:rPr>
          <w:rFonts w:eastAsia="Calibri"/>
        </w:rPr>
        <w:tab/>
      </w:r>
      <w:r w:rsidR="00D66365" w:rsidRPr="00FF5369">
        <w:rPr>
          <w:rFonts w:eastAsia="Calibri"/>
        </w:rPr>
        <w:t>‘</w:t>
      </w:r>
      <w:r w:rsidRPr="00FF5369">
        <w:rPr>
          <w:rFonts w:eastAsia="Calibri"/>
        </w:rPr>
        <w:t>Formulated for</w:t>
      </w:r>
      <w:r w:rsidR="00D66365" w:rsidRPr="00FF5369">
        <w:rPr>
          <w:rFonts w:eastAsia="Calibri"/>
        </w:rPr>
        <w:t>’</w:t>
      </w:r>
    </w:p>
    <w:p w14:paraId="44915E55" w14:textId="77777777" w:rsidR="00D47D20" w:rsidRPr="0034053B" w:rsidRDefault="00D47D20" w:rsidP="00D47D20">
      <w:pPr>
        <w:pStyle w:val="Heading4"/>
        <w:keepNext w:val="0"/>
        <w:widowControl/>
        <w:spacing w:before="120" w:after="120"/>
        <w:rPr>
          <w:b w:val="0"/>
          <w:lang w:eastAsia="en-AU"/>
        </w:rPr>
      </w:pPr>
      <w:r w:rsidRPr="0034053B">
        <w:rPr>
          <w:b w:val="0"/>
          <w:lang w:eastAsia="en-AU"/>
        </w:rPr>
        <w:t xml:space="preserve">Proposed approach </w:t>
      </w:r>
      <w:r>
        <w:rPr>
          <w:b w:val="0"/>
          <w:lang w:eastAsia="en-AU"/>
        </w:rPr>
        <w:t xml:space="preserve">and amendments </w:t>
      </w:r>
      <w:r w:rsidRPr="0034053B">
        <w:rPr>
          <w:b w:val="0"/>
          <w:lang w:eastAsia="en-AU"/>
        </w:rPr>
        <w:t xml:space="preserve">in </w:t>
      </w:r>
      <w:r>
        <w:rPr>
          <w:b w:val="0"/>
          <w:lang w:eastAsia="en-AU"/>
        </w:rPr>
        <w:t>2021</w:t>
      </w:r>
      <w:r w:rsidRPr="0034053B">
        <w:rPr>
          <w:b w:val="0"/>
          <w:lang w:eastAsia="en-AU"/>
        </w:rPr>
        <w:t xml:space="preserve"> </w:t>
      </w:r>
    </w:p>
    <w:p w14:paraId="726135ED" w14:textId="6839D85C" w:rsidR="00337C06" w:rsidRDefault="00337C06" w:rsidP="00F03875">
      <w:pPr>
        <w:pStyle w:val="FSTableText"/>
        <w:widowControl/>
        <w:spacing w:before="120" w:after="120"/>
        <w:rPr>
          <w:bCs/>
          <w:color w:val="000000"/>
          <w:sz w:val="22"/>
          <w:szCs w:val="22"/>
        </w:rPr>
      </w:pPr>
      <w:r>
        <w:rPr>
          <w:bCs/>
          <w:color w:val="000000"/>
          <w:sz w:val="22"/>
          <w:szCs w:val="22"/>
        </w:rPr>
        <w:t xml:space="preserve">In the 2021 Consultation Paper, FSANZ </w:t>
      </w:r>
      <w:r w:rsidR="00A35053">
        <w:rPr>
          <w:bCs/>
          <w:color w:val="000000"/>
          <w:sz w:val="22"/>
          <w:szCs w:val="22"/>
        </w:rPr>
        <w:t xml:space="preserve">confirmed the amendment proposed in 2014 to </w:t>
      </w:r>
      <w:r>
        <w:rPr>
          <w:bCs/>
          <w:color w:val="000000"/>
          <w:sz w:val="22"/>
          <w:szCs w:val="22"/>
        </w:rPr>
        <w:t>only refer to ‘formulated for’ rather than including ‘represented as’ in the definition to more closely align with the compositional requirements of Standard 2.6.2</w:t>
      </w:r>
      <w:r w:rsidR="008464EF">
        <w:rPr>
          <w:bCs/>
          <w:color w:val="000000"/>
          <w:sz w:val="22"/>
          <w:szCs w:val="22"/>
        </w:rPr>
        <w:t>. FSANZ also noted</w:t>
      </w:r>
      <w:r>
        <w:rPr>
          <w:bCs/>
          <w:color w:val="000000"/>
          <w:sz w:val="22"/>
          <w:szCs w:val="22"/>
        </w:rPr>
        <w:t xml:space="preserve"> </w:t>
      </w:r>
      <w:r w:rsidR="008464EF">
        <w:rPr>
          <w:bCs/>
          <w:color w:val="000000"/>
          <w:sz w:val="22"/>
          <w:szCs w:val="22"/>
        </w:rPr>
        <w:t>n</w:t>
      </w:r>
      <w:r>
        <w:rPr>
          <w:bCs/>
          <w:color w:val="000000"/>
          <w:sz w:val="22"/>
          <w:szCs w:val="22"/>
        </w:rPr>
        <w:t xml:space="preserve">o enforcement agencies </w:t>
      </w:r>
      <w:r w:rsidR="008464EF">
        <w:rPr>
          <w:bCs/>
          <w:color w:val="000000"/>
          <w:sz w:val="22"/>
          <w:szCs w:val="22"/>
        </w:rPr>
        <w:t xml:space="preserve">had </w:t>
      </w:r>
      <w:r>
        <w:rPr>
          <w:bCs/>
          <w:color w:val="000000"/>
          <w:sz w:val="22"/>
          <w:szCs w:val="22"/>
        </w:rPr>
        <w:t xml:space="preserve">expressed concern or provided evidence in </w:t>
      </w:r>
      <w:r w:rsidR="008464EF">
        <w:rPr>
          <w:bCs/>
          <w:color w:val="000000"/>
          <w:sz w:val="22"/>
          <w:szCs w:val="22"/>
        </w:rPr>
        <w:t xml:space="preserve">previous </w:t>
      </w:r>
      <w:r>
        <w:rPr>
          <w:bCs/>
          <w:color w:val="000000"/>
          <w:sz w:val="22"/>
          <w:szCs w:val="22"/>
        </w:rPr>
        <w:t>submissions</w:t>
      </w:r>
      <w:r w:rsidR="008464EF">
        <w:rPr>
          <w:bCs/>
          <w:color w:val="000000"/>
          <w:sz w:val="22"/>
          <w:szCs w:val="22"/>
        </w:rPr>
        <w:t xml:space="preserve"> regarding any inability to enforce the Code. </w:t>
      </w:r>
      <w:r>
        <w:rPr>
          <w:bCs/>
          <w:color w:val="000000"/>
          <w:sz w:val="22"/>
          <w:szCs w:val="22"/>
        </w:rPr>
        <w:t xml:space="preserve"> </w:t>
      </w:r>
    </w:p>
    <w:p w14:paraId="3831437E" w14:textId="39E95FDD" w:rsidR="00F03875" w:rsidRPr="00F03875" w:rsidRDefault="008464EF" w:rsidP="00F03875">
      <w:pPr>
        <w:pStyle w:val="FSTableText"/>
        <w:widowControl/>
        <w:spacing w:before="120" w:after="120"/>
        <w:rPr>
          <w:bCs/>
          <w:color w:val="000000"/>
          <w:sz w:val="22"/>
          <w:szCs w:val="22"/>
          <w:lang w:bidi="ar-SA"/>
        </w:rPr>
      </w:pPr>
      <w:r>
        <w:rPr>
          <w:bCs/>
          <w:color w:val="000000"/>
          <w:sz w:val="22"/>
          <w:szCs w:val="22"/>
        </w:rPr>
        <w:t>In responding to the 2021 Consultation Paper, o</w:t>
      </w:r>
      <w:r w:rsidR="00F03875" w:rsidRPr="00F03875">
        <w:rPr>
          <w:bCs/>
          <w:color w:val="000000"/>
          <w:sz w:val="22"/>
          <w:szCs w:val="22"/>
        </w:rPr>
        <w:t xml:space="preserve">ne government submitter suggested the inclusion of </w:t>
      </w:r>
      <w:r w:rsidR="00F03875" w:rsidRPr="00DE3EF7">
        <w:rPr>
          <w:sz w:val="22"/>
          <w:szCs w:val="22"/>
        </w:rPr>
        <w:t>both ‘</w:t>
      </w:r>
      <w:r w:rsidR="00F03875" w:rsidRPr="00DE3EF7">
        <w:rPr>
          <w:color w:val="000000"/>
          <w:sz w:val="22"/>
          <w:szCs w:val="22"/>
        </w:rPr>
        <w:t>represented as</w:t>
      </w:r>
      <w:r w:rsidR="00F03875" w:rsidRPr="00DE3EF7">
        <w:rPr>
          <w:sz w:val="22"/>
          <w:szCs w:val="22"/>
        </w:rPr>
        <w:t xml:space="preserve">’ and </w:t>
      </w:r>
      <w:r w:rsidR="00F03875" w:rsidRPr="00F03875">
        <w:rPr>
          <w:bCs/>
          <w:color w:val="000000"/>
          <w:sz w:val="22"/>
          <w:szCs w:val="22"/>
        </w:rPr>
        <w:t>‘as formulated’ or, alternatively replacing both with the term ‘is suitable for’ to ensure sufficient differentiation between electrolyte drinks and other sports drinks for enforcement purposes.</w:t>
      </w:r>
      <w:r w:rsidR="00F03875" w:rsidRPr="00F03875">
        <w:rPr>
          <w:color w:val="000000"/>
          <w:sz w:val="22"/>
          <w:szCs w:val="22"/>
          <w:lang w:eastAsia="en-GB"/>
        </w:rPr>
        <w:t xml:space="preserve"> </w:t>
      </w:r>
      <w:r w:rsidR="005B036E">
        <w:rPr>
          <w:color w:val="000000"/>
          <w:sz w:val="22"/>
          <w:szCs w:val="22"/>
          <w:lang w:eastAsia="en-GB"/>
        </w:rPr>
        <w:t>No other jurisdiction proposed such an amendment.</w:t>
      </w:r>
    </w:p>
    <w:p w14:paraId="101E74B7" w14:textId="6FA647D9" w:rsidR="00D47D20" w:rsidRPr="00D64B11" w:rsidRDefault="00D47D20" w:rsidP="00D64B11">
      <w:pPr>
        <w:widowControl/>
        <w:spacing w:before="120" w:after="120"/>
        <w:rPr>
          <w:i/>
        </w:rPr>
      </w:pPr>
      <w:r w:rsidRPr="00D64B11">
        <w:rPr>
          <w:i/>
        </w:rPr>
        <w:t>FSANZ’s Decision</w:t>
      </w:r>
    </w:p>
    <w:p w14:paraId="728569B9" w14:textId="1388FAFB" w:rsidR="007F18E3" w:rsidRPr="0024037E" w:rsidRDefault="0024037E" w:rsidP="00F03875">
      <w:pPr>
        <w:pStyle w:val="FSTableText"/>
        <w:widowControl/>
        <w:spacing w:before="120" w:after="120"/>
        <w:rPr>
          <w:rFonts w:eastAsia="Calibri"/>
          <w:sz w:val="22"/>
          <w:szCs w:val="22"/>
        </w:rPr>
      </w:pPr>
      <w:r w:rsidRPr="0024037E">
        <w:rPr>
          <w:rFonts w:eastAsia="Calibri"/>
          <w:sz w:val="22"/>
          <w:szCs w:val="22"/>
        </w:rPr>
        <w:t>After consideration</w:t>
      </w:r>
      <w:r w:rsidR="00222B86">
        <w:rPr>
          <w:rFonts w:eastAsia="Calibri"/>
          <w:sz w:val="22"/>
          <w:szCs w:val="22"/>
        </w:rPr>
        <w:t xml:space="preserve"> of submissions</w:t>
      </w:r>
      <w:r w:rsidRPr="0024037E">
        <w:rPr>
          <w:rFonts w:eastAsia="Calibri"/>
          <w:sz w:val="22"/>
          <w:szCs w:val="22"/>
        </w:rPr>
        <w:t xml:space="preserve">, FSANZ decided not to adopt the </w:t>
      </w:r>
      <w:r>
        <w:rPr>
          <w:rFonts w:eastAsia="Calibri"/>
          <w:sz w:val="22"/>
          <w:szCs w:val="22"/>
        </w:rPr>
        <w:t>submitter’s suggested</w:t>
      </w:r>
      <w:r w:rsidRPr="0024037E">
        <w:rPr>
          <w:rFonts w:eastAsia="Calibri"/>
          <w:sz w:val="22"/>
          <w:szCs w:val="22"/>
        </w:rPr>
        <w:t xml:space="preserve"> amendments.</w:t>
      </w:r>
    </w:p>
    <w:p w14:paraId="54F7190E" w14:textId="49D7501E" w:rsidR="00F03875" w:rsidRPr="00F03875" w:rsidRDefault="00F03875" w:rsidP="00F03875">
      <w:pPr>
        <w:pStyle w:val="FSTableText"/>
        <w:widowControl/>
        <w:spacing w:before="120" w:after="120"/>
        <w:rPr>
          <w:bCs/>
          <w:color w:val="000000"/>
          <w:sz w:val="22"/>
          <w:szCs w:val="22"/>
          <w:lang w:bidi="ar-SA"/>
        </w:rPr>
      </w:pPr>
      <w:r w:rsidRPr="0024037E">
        <w:rPr>
          <w:bCs/>
          <w:color w:val="000000"/>
          <w:sz w:val="22"/>
          <w:szCs w:val="22"/>
          <w:lang w:bidi="ar-SA"/>
        </w:rPr>
        <w:t>FSANZ</w:t>
      </w:r>
      <w:r w:rsidR="005B036E" w:rsidRPr="0024037E">
        <w:rPr>
          <w:bCs/>
          <w:color w:val="000000"/>
          <w:sz w:val="22"/>
          <w:szCs w:val="22"/>
          <w:lang w:bidi="ar-SA"/>
        </w:rPr>
        <w:t xml:space="preserve"> considered that</w:t>
      </w:r>
      <w:r w:rsidRPr="0024037E">
        <w:rPr>
          <w:bCs/>
          <w:color w:val="000000"/>
          <w:sz w:val="22"/>
          <w:szCs w:val="22"/>
          <w:lang w:bidi="ar-SA"/>
        </w:rPr>
        <w:t xml:space="preserve"> </w:t>
      </w:r>
      <w:r w:rsidRPr="0024037E" w:rsidDel="005B036E">
        <w:rPr>
          <w:bCs/>
          <w:color w:val="000000"/>
          <w:sz w:val="22"/>
          <w:szCs w:val="22"/>
          <w:lang w:bidi="ar-SA"/>
        </w:rPr>
        <w:t>i</w:t>
      </w:r>
      <w:r w:rsidRPr="0024037E">
        <w:rPr>
          <w:bCs/>
          <w:color w:val="000000"/>
          <w:sz w:val="22"/>
          <w:szCs w:val="22"/>
          <w:lang w:bidi="ar-SA"/>
        </w:rPr>
        <w:t xml:space="preserve">ncluding the two terms </w:t>
      </w:r>
      <w:r w:rsidR="005B036E" w:rsidRPr="0024037E">
        <w:rPr>
          <w:bCs/>
          <w:color w:val="000000"/>
          <w:sz w:val="22"/>
          <w:szCs w:val="22"/>
          <w:lang w:bidi="ar-SA"/>
        </w:rPr>
        <w:t xml:space="preserve">in the definition </w:t>
      </w:r>
      <w:r w:rsidRPr="0024037E">
        <w:rPr>
          <w:bCs/>
          <w:color w:val="000000"/>
          <w:sz w:val="22"/>
          <w:szCs w:val="22"/>
          <w:lang w:bidi="ar-SA"/>
        </w:rPr>
        <w:t xml:space="preserve">would </w:t>
      </w:r>
      <w:r w:rsidR="005B036E" w:rsidRPr="0024037E">
        <w:rPr>
          <w:bCs/>
          <w:color w:val="000000"/>
          <w:sz w:val="22"/>
          <w:szCs w:val="22"/>
          <w:lang w:bidi="ar-SA"/>
        </w:rPr>
        <w:t xml:space="preserve">likely </w:t>
      </w:r>
      <w:r w:rsidRPr="0024037E">
        <w:rPr>
          <w:bCs/>
          <w:color w:val="000000"/>
          <w:sz w:val="22"/>
          <w:szCs w:val="22"/>
          <w:lang w:bidi="ar-SA"/>
        </w:rPr>
        <w:t xml:space="preserve">impede enforcement activity in that regulators would need to establish that the product is both </w:t>
      </w:r>
      <w:r w:rsidRPr="0024037E">
        <w:rPr>
          <w:bCs/>
          <w:i/>
          <w:color w:val="000000"/>
          <w:sz w:val="22"/>
          <w:szCs w:val="22"/>
          <w:lang w:bidi="ar-SA"/>
        </w:rPr>
        <w:t>formulated</w:t>
      </w:r>
      <w:r w:rsidRPr="0024037E">
        <w:rPr>
          <w:bCs/>
          <w:color w:val="000000"/>
          <w:sz w:val="22"/>
          <w:szCs w:val="22"/>
          <w:lang w:bidi="ar-SA"/>
        </w:rPr>
        <w:t xml:space="preserve"> and </w:t>
      </w:r>
      <w:r w:rsidRPr="0024037E">
        <w:rPr>
          <w:bCs/>
          <w:i/>
          <w:color w:val="000000"/>
          <w:sz w:val="22"/>
          <w:szCs w:val="22"/>
          <w:lang w:bidi="ar-SA"/>
        </w:rPr>
        <w:t>represented</w:t>
      </w:r>
      <w:r w:rsidRPr="0024037E">
        <w:rPr>
          <w:bCs/>
          <w:color w:val="000000"/>
          <w:sz w:val="22"/>
          <w:szCs w:val="22"/>
          <w:lang w:bidi="ar-SA"/>
        </w:rPr>
        <w:t xml:space="preserve"> </w:t>
      </w:r>
      <w:r w:rsidRPr="0024037E">
        <w:rPr>
          <w:i/>
          <w:color w:val="000000"/>
          <w:sz w:val="22"/>
          <w:szCs w:val="22"/>
          <w:lang w:bidi="ar-SA"/>
        </w:rPr>
        <w:t>as</w:t>
      </w:r>
      <w:r w:rsidRPr="0024037E">
        <w:rPr>
          <w:bCs/>
          <w:color w:val="000000"/>
          <w:sz w:val="22"/>
          <w:szCs w:val="22"/>
          <w:lang w:bidi="ar-SA"/>
        </w:rPr>
        <w:t xml:space="preserve">. </w:t>
      </w:r>
      <w:r w:rsidR="005B036E" w:rsidRPr="0024037E">
        <w:rPr>
          <w:bCs/>
          <w:color w:val="000000"/>
          <w:sz w:val="22"/>
          <w:szCs w:val="22"/>
          <w:lang w:bidi="ar-SA"/>
        </w:rPr>
        <w:t>Doing so</w:t>
      </w:r>
      <w:r w:rsidRPr="0024037E">
        <w:rPr>
          <w:bCs/>
          <w:color w:val="000000"/>
          <w:sz w:val="22"/>
          <w:szCs w:val="22"/>
          <w:lang w:bidi="ar-SA"/>
        </w:rPr>
        <w:t xml:space="preserve"> set</w:t>
      </w:r>
      <w:r w:rsidR="005B036E" w:rsidRPr="0024037E">
        <w:rPr>
          <w:bCs/>
          <w:color w:val="000000"/>
          <w:sz w:val="22"/>
          <w:szCs w:val="22"/>
          <w:lang w:bidi="ar-SA"/>
        </w:rPr>
        <w:t>s</w:t>
      </w:r>
      <w:r w:rsidRPr="0024037E">
        <w:rPr>
          <w:bCs/>
          <w:color w:val="000000"/>
          <w:sz w:val="22"/>
          <w:szCs w:val="22"/>
          <w:lang w:bidi="ar-SA"/>
        </w:rPr>
        <w:t xml:space="preserve"> a higher level of compliance</w:t>
      </w:r>
      <w:r w:rsidR="00A35053" w:rsidRPr="0024037E">
        <w:rPr>
          <w:bCs/>
          <w:color w:val="000000"/>
          <w:sz w:val="22"/>
          <w:szCs w:val="22"/>
          <w:lang w:bidi="ar-SA"/>
        </w:rPr>
        <w:t xml:space="preserve"> and </w:t>
      </w:r>
      <w:r w:rsidRPr="0024037E">
        <w:rPr>
          <w:bCs/>
          <w:color w:val="000000"/>
          <w:sz w:val="22"/>
          <w:szCs w:val="22"/>
          <w:lang w:bidi="ar-SA"/>
        </w:rPr>
        <w:t>impose</w:t>
      </w:r>
      <w:r w:rsidR="00DE3EF7">
        <w:rPr>
          <w:bCs/>
          <w:color w:val="000000"/>
          <w:sz w:val="22"/>
          <w:szCs w:val="22"/>
          <w:lang w:bidi="ar-SA"/>
        </w:rPr>
        <w:t>s</w:t>
      </w:r>
      <w:r w:rsidRPr="0024037E">
        <w:rPr>
          <w:bCs/>
          <w:color w:val="000000"/>
          <w:sz w:val="22"/>
          <w:szCs w:val="22"/>
          <w:lang w:bidi="ar-SA"/>
        </w:rPr>
        <w:t xml:space="preserve"> a greater regulatory burden for enforcement agencies. </w:t>
      </w:r>
      <w:r w:rsidR="00A35053" w:rsidRPr="0024037E">
        <w:rPr>
          <w:bCs/>
          <w:color w:val="000000"/>
          <w:sz w:val="22"/>
          <w:szCs w:val="22"/>
          <w:lang w:bidi="ar-SA"/>
        </w:rPr>
        <w:t xml:space="preserve">It may also </w:t>
      </w:r>
      <w:r w:rsidRPr="0024037E">
        <w:rPr>
          <w:bCs/>
          <w:color w:val="000000"/>
          <w:sz w:val="22"/>
          <w:szCs w:val="22"/>
          <w:lang w:bidi="ar-SA"/>
        </w:rPr>
        <w:t>create a potential regulatory</w:t>
      </w:r>
      <w:r w:rsidRPr="00F03875">
        <w:rPr>
          <w:bCs/>
          <w:color w:val="000000"/>
          <w:sz w:val="22"/>
          <w:szCs w:val="22"/>
          <w:lang w:bidi="ar-SA"/>
        </w:rPr>
        <w:t xml:space="preserve"> gap </w:t>
      </w:r>
      <w:r w:rsidRPr="00F03875">
        <w:rPr>
          <w:sz w:val="22"/>
          <w:szCs w:val="22"/>
        </w:rPr>
        <w:t xml:space="preserve">if </w:t>
      </w:r>
      <w:r w:rsidRPr="00F03875">
        <w:rPr>
          <w:i/>
          <w:iCs/>
          <w:sz w:val="22"/>
          <w:szCs w:val="22"/>
          <w:lang w:eastAsia="en-AU"/>
        </w:rPr>
        <w:t xml:space="preserve">a drink formulated for the rapid replacement of fluid and electrolytes </w:t>
      </w:r>
      <w:r w:rsidR="00F53BB2">
        <w:rPr>
          <w:sz w:val="22"/>
          <w:szCs w:val="22"/>
          <w:lang w:eastAsia="en-AU"/>
        </w:rPr>
        <w:t xml:space="preserve">after the required </w:t>
      </w:r>
      <w:r w:rsidRPr="00F03875">
        <w:rPr>
          <w:sz w:val="22"/>
          <w:szCs w:val="22"/>
          <w:lang w:eastAsia="en-AU"/>
        </w:rPr>
        <w:t>period</w:t>
      </w:r>
      <w:r w:rsidR="00F53BB2">
        <w:rPr>
          <w:sz w:val="22"/>
          <w:szCs w:val="22"/>
          <w:lang w:eastAsia="en-AU"/>
        </w:rPr>
        <w:t xml:space="preserve"> of</w:t>
      </w:r>
      <w:r w:rsidRPr="00F03875">
        <w:rPr>
          <w:i/>
          <w:iCs/>
          <w:sz w:val="22"/>
          <w:szCs w:val="22"/>
          <w:lang w:eastAsia="en-AU"/>
        </w:rPr>
        <w:t xml:space="preserve"> sustained strenuous physical activity</w:t>
      </w:r>
      <w:r w:rsidRPr="00F03875">
        <w:rPr>
          <w:sz w:val="22"/>
          <w:szCs w:val="22"/>
        </w:rPr>
        <w:t xml:space="preserve"> is not</w:t>
      </w:r>
      <w:r w:rsidRPr="00F03875">
        <w:rPr>
          <w:i/>
          <w:iCs/>
          <w:sz w:val="22"/>
          <w:szCs w:val="22"/>
        </w:rPr>
        <w:t xml:space="preserve"> represented</w:t>
      </w:r>
      <w:r w:rsidRPr="00F03875">
        <w:rPr>
          <w:sz w:val="22"/>
          <w:szCs w:val="22"/>
        </w:rPr>
        <w:t xml:space="preserve"> </w:t>
      </w:r>
      <w:r w:rsidRPr="00A35053">
        <w:rPr>
          <w:i/>
          <w:sz w:val="22"/>
          <w:szCs w:val="22"/>
        </w:rPr>
        <w:t>as</w:t>
      </w:r>
      <w:r w:rsidRPr="00F03875">
        <w:rPr>
          <w:sz w:val="22"/>
          <w:szCs w:val="22"/>
        </w:rPr>
        <w:t xml:space="preserve"> an </w:t>
      </w:r>
      <w:r w:rsidR="00C01485">
        <w:rPr>
          <w:sz w:val="22"/>
          <w:szCs w:val="22"/>
        </w:rPr>
        <w:t>electrolyte drink</w:t>
      </w:r>
      <w:r w:rsidR="00C01485" w:rsidRPr="00F03875">
        <w:rPr>
          <w:sz w:val="22"/>
          <w:szCs w:val="22"/>
        </w:rPr>
        <w:t xml:space="preserve"> </w:t>
      </w:r>
      <w:r w:rsidRPr="00F03875">
        <w:rPr>
          <w:sz w:val="22"/>
          <w:szCs w:val="22"/>
        </w:rPr>
        <w:t>at sale</w:t>
      </w:r>
      <w:r w:rsidR="005B036E">
        <w:rPr>
          <w:sz w:val="22"/>
          <w:szCs w:val="22"/>
        </w:rPr>
        <w:t xml:space="preserve">. It could be argued in this case that the drink is not </w:t>
      </w:r>
      <w:r w:rsidRPr="00F03875">
        <w:rPr>
          <w:sz w:val="22"/>
          <w:szCs w:val="22"/>
        </w:rPr>
        <w:t xml:space="preserve">‘an electrolyte drink’ for the purpose of the Code. Subsequently, it would not be subject to any of the Code requirements that apply to or will apply to products that meet the Code’s definition of an electrolyte drink. </w:t>
      </w:r>
    </w:p>
    <w:p w14:paraId="26891796" w14:textId="2D6922A3" w:rsidR="00F03875" w:rsidRPr="00F03875" w:rsidRDefault="00F03875" w:rsidP="00F03875">
      <w:pPr>
        <w:pStyle w:val="FSTableText"/>
        <w:widowControl/>
        <w:spacing w:before="120" w:after="120"/>
        <w:rPr>
          <w:bCs/>
          <w:color w:val="000000"/>
          <w:sz w:val="22"/>
          <w:szCs w:val="22"/>
          <w:lang w:bidi="ar-SA"/>
        </w:rPr>
      </w:pPr>
      <w:r w:rsidRPr="00F03875">
        <w:rPr>
          <w:bCs/>
          <w:color w:val="000000"/>
          <w:sz w:val="22"/>
          <w:szCs w:val="22"/>
          <w:lang w:bidi="ar-SA"/>
        </w:rPr>
        <w:t>FSANZ</w:t>
      </w:r>
      <w:r w:rsidRPr="00F03875" w:rsidDel="005B036E">
        <w:rPr>
          <w:bCs/>
          <w:color w:val="000000"/>
          <w:sz w:val="22"/>
          <w:szCs w:val="22"/>
          <w:lang w:bidi="ar-SA"/>
        </w:rPr>
        <w:t xml:space="preserve"> </w:t>
      </w:r>
      <w:r w:rsidR="005B036E">
        <w:rPr>
          <w:bCs/>
          <w:color w:val="000000"/>
          <w:sz w:val="22"/>
          <w:szCs w:val="22"/>
          <w:lang w:bidi="ar-SA"/>
        </w:rPr>
        <w:t>did</w:t>
      </w:r>
      <w:r w:rsidR="005B036E" w:rsidRPr="00F03875">
        <w:rPr>
          <w:bCs/>
          <w:color w:val="000000"/>
          <w:sz w:val="22"/>
          <w:szCs w:val="22"/>
          <w:lang w:bidi="ar-SA"/>
        </w:rPr>
        <w:t xml:space="preserve"> </w:t>
      </w:r>
      <w:r w:rsidRPr="0024037E">
        <w:rPr>
          <w:sz w:val="22"/>
          <w:szCs w:val="22"/>
          <w:lang w:bidi="ar-SA"/>
        </w:rPr>
        <w:t xml:space="preserve">not consider the term ‘is suitable’ </w:t>
      </w:r>
      <w:r w:rsidR="005B036E" w:rsidRPr="0024037E">
        <w:rPr>
          <w:sz w:val="22"/>
          <w:szCs w:val="22"/>
          <w:lang w:bidi="ar-SA"/>
        </w:rPr>
        <w:t xml:space="preserve">to be </w:t>
      </w:r>
      <w:r w:rsidRPr="0024037E">
        <w:rPr>
          <w:sz w:val="22"/>
          <w:szCs w:val="22"/>
          <w:lang w:bidi="ar-SA"/>
        </w:rPr>
        <w:t xml:space="preserve">a viable </w:t>
      </w:r>
      <w:r w:rsidRPr="00F03875">
        <w:rPr>
          <w:bCs/>
          <w:color w:val="000000"/>
          <w:sz w:val="22"/>
          <w:szCs w:val="22"/>
          <w:lang w:bidi="ar-SA"/>
        </w:rPr>
        <w:t xml:space="preserve">alternative as it would be difficult to </w:t>
      </w:r>
      <w:r w:rsidR="00A35053">
        <w:rPr>
          <w:bCs/>
          <w:color w:val="000000"/>
          <w:sz w:val="22"/>
          <w:szCs w:val="22"/>
          <w:lang w:bidi="ar-SA"/>
        </w:rPr>
        <w:t>contextualise</w:t>
      </w:r>
      <w:r w:rsidRPr="00F03875">
        <w:rPr>
          <w:bCs/>
          <w:color w:val="000000"/>
          <w:sz w:val="22"/>
          <w:szCs w:val="22"/>
          <w:lang w:bidi="ar-SA"/>
        </w:rPr>
        <w:t xml:space="preserve"> what ‘suitable’ means</w:t>
      </w:r>
      <w:r w:rsidR="005B036E">
        <w:rPr>
          <w:bCs/>
          <w:color w:val="000000"/>
          <w:sz w:val="22"/>
          <w:szCs w:val="22"/>
          <w:lang w:bidi="ar-SA"/>
        </w:rPr>
        <w:t xml:space="preserve"> in this context</w:t>
      </w:r>
      <w:r w:rsidRPr="00F03875">
        <w:rPr>
          <w:bCs/>
          <w:color w:val="000000"/>
          <w:sz w:val="22"/>
          <w:szCs w:val="22"/>
          <w:lang w:bidi="ar-SA"/>
        </w:rPr>
        <w:t xml:space="preserve">, </w:t>
      </w:r>
      <w:r w:rsidRPr="00F03875">
        <w:rPr>
          <w:sz w:val="22"/>
          <w:szCs w:val="22"/>
        </w:rPr>
        <w:t xml:space="preserve">noting the definition would need to be applied by and form part of the Food Acts which contain their own separate </w:t>
      </w:r>
      <w:r w:rsidRPr="00F03875">
        <w:rPr>
          <w:i/>
          <w:sz w:val="22"/>
          <w:szCs w:val="22"/>
        </w:rPr>
        <w:t>unsuitable</w:t>
      </w:r>
      <w:r w:rsidRPr="00F03875">
        <w:rPr>
          <w:sz w:val="22"/>
          <w:szCs w:val="22"/>
        </w:rPr>
        <w:t xml:space="preserve"> food offence provisions.</w:t>
      </w:r>
      <w:r w:rsidRPr="00F03875">
        <w:rPr>
          <w:i/>
          <w:iCs/>
          <w:sz w:val="22"/>
          <w:szCs w:val="22"/>
        </w:rPr>
        <w:t xml:space="preserve"> </w:t>
      </w:r>
      <w:r w:rsidR="00C628D2">
        <w:rPr>
          <w:bCs/>
          <w:color w:val="000000"/>
          <w:sz w:val="22"/>
          <w:szCs w:val="22"/>
          <w:lang w:bidi="ar-SA"/>
        </w:rPr>
        <w:t>Requiring regulators to establish that a product is suitable in order to prove that the Code requirements for electrolyte drinks apply to that product</w:t>
      </w:r>
      <w:r w:rsidRPr="00F03875">
        <w:rPr>
          <w:bCs/>
          <w:color w:val="000000"/>
          <w:sz w:val="22"/>
          <w:szCs w:val="22"/>
          <w:lang w:bidi="ar-SA"/>
        </w:rPr>
        <w:t xml:space="preserve"> </w:t>
      </w:r>
      <w:r w:rsidRPr="00F03875" w:rsidDel="00C628D2">
        <w:rPr>
          <w:bCs/>
          <w:color w:val="000000"/>
          <w:sz w:val="22"/>
          <w:szCs w:val="22"/>
          <w:lang w:bidi="ar-SA"/>
        </w:rPr>
        <w:t xml:space="preserve">would </w:t>
      </w:r>
      <w:r w:rsidR="00C628D2">
        <w:rPr>
          <w:bCs/>
          <w:color w:val="000000"/>
          <w:sz w:val="22"/>
          <w:szCs w:val="22"/>
          <w:lang w:bidi="ar-SA"/>
        </w:rPr>
        <w:t xml:space="preserve">appear </w:t>
      </w:r>
      <w:r w:rsidR="00C628D2">
        <w:rPr>
          <w:bCs/>
          <w:color w:val="000000"/>
          <w:sz w:val="22"/>
          <w:szCs w:val="22"/>
          <w:lang w:bidi="ar-SA"/>
        </w:rPr>
        <w:lastRenderedPageBreak/>
        <w:t>likely to</w:t>
      </w:r>
      <w:r w:rsidR="00C628D2" w:rsidRPr="00F03875">
        <w:rPr>
          <w:bCs/>
          <w:color w:val="000000"/>
          <w:sz w:val="22"/>
          <w:szCs w:val="22"/>
          <w:lang w:bidi="ar-SA"/>
        </w:rPr>
        <w:t xml:space="preserve"> </w:t>
      </w:r>
      <w:r w:rsidRPr="00F03875">
        <w:rPr>
          <w:bCs/>
          <w:color w:val="000000"/>
          <w:sz w:val="22"/>
          <w:szCs w:val="22"/>
          <w:lang w:bidi="ar-SA"/>
        </w:rPr>
        <w:t>create a greater evidentiary burden for regulators than only determining ‘formulated for’. Furthermore, it</w:t>
      </w:r>
      <w:r w:rsidR="00F53BB2">
        <w:rPr>
          <w:bCs/>
          <w:color w:val="000000"/>
          <w:sz w:val="22"/>
          <w:szCs w:val="22"/>
          <w:lang w:bidi="ar-SA"/>
        </w:rPr>
        <w:t xml:space="preserve"> </w:t>
      </w:r>
      <w:r w:rsidRPr="00F03875">
        <w:rPr>
          <w:bCs/>
          <w:color w:val="000000"/>
          <w:sz w:val="22"/>
          <w:szCs w:val="22"/>
          <w:lang w:bidi="ar-SA"/>
        </w:rPr>
        <w:t xml:space="preserve">could </w:t>
      </w:r>
      <w:r w:rsidR="00C628D2">
        <w:rPr>
          <w:bCs/>
          <w:color w:val="000000"/>
          <w:sz w:val="22"/>
          <w:szCs w:val="22"/>
          <w:lang w:bidi="ar-SA"/>
        </w:rPr>
        <w:t>create</w:t>
      </w:r>
      <w:r w:rsidR="00C628D2" w:rsidRPr="00F03875">
        <w:rPr>
          <w:bCs/>
          <w:color w:val="000000"/>
          <w:sz w:val="22"/>
          <w:szCs w:val="22"/>
          <w:lang w:bidi="ar-SA"/>
        </w:rPr>
        <w:t xml:space="preserve"> </w:t>
      </w:r>
      <w:r w:rsidR="00C628D2">
        <w:rPr>
          <w:bCs/>
          <w:color w:val="000000"/>
          <w:sz w:val="22"/>
          <w:szCs w:val="22"/>
          <w:lang w:bidi="ar-SA"/>
        </w:rPr>
        <w:t>a</w:t>
      </w:r>
      <w:r w:rsidRPr="00F03875" w:rsidDel="00C628D2">
        <w:rPr>
          <w:bCs/>
          <w:color w:val="000000"/>
          <w:sz w:val="22"/>
          <w:szCs w:val="22"/>
          <w:lang w:bidi="ar-SA"/>
        </w:rPr>
        <w:t xml:space="preserve"> </w:t>
      </w:r>
      <w:r w:rsidRPr="00F03875">
        <w:rPr>
          <w:bCs/>
          <w:color w:val="000000"/>
          <w:sz w:val="22"/>
          <w:szCs w:val="22"/>
          <w:lang w:bidi="ar-SA"/>
        </w:rPr>
        <w:t xml:space="preserve">tautology in that </w:t>
      </w:r>
      <w:r w:rsidRPr="00F03875">
        <w:rPr>
          <w:sz w:val="22"/>
          <w:szCs w:val="22"/>
        </w:rPr>
        <w:t>only drinks that are</w:t>
      </w:r>
      <w:r w:rsidRPr="00F03875">
        <w:rPr>
          <w:i/>
          <w:iCs/>
          <w:sz w:val="22"/>
          <w:szCs w:val="22"/>
        </w:rPr>
        <w:t xml:space="preserve"> </w:t>
      </w:r>
      <w:r w:rsidRPr="00F03875">
        <w:rPr>
          <w:sz w:val="22"/>
          <w:szCs w:val="22"/>
        </w:rPr>
        <w:t>first</w:t>
      </w:r>
      <w:r w:rsidRPr="00F03875">
        <w:rPr>
          <w:i/>
          <w:iCs/>
          <w:sz w:val="22"/>
          <w:szCs w:val="22"/>
        </w:rPr>
        <w:t xml:space="preserve"> suitable </w:t>
      </w:r>
      <w:r w:rsidRPr="00F03875">
        <w:rPr>
          <w:sz w:val="22"/>
          <w:szCs w:val="22"/>
        </w:rPr>
        <w:t>for</w:t>
      </w:r>
      <w:r w:rsidRPr="00F03875">
        <w:rPr>
          <w:i/>
          <w:iCs/>
          <w:sz w:val="22"/>
          <w:szCs w:val="22"/>
        </w:rPr>
        <w:t xml:space="preserve"> </w:t>
      </w:r>
      <w:r w:rsidRPr="00F03875">
        <w:rPr>
          <w:sz w:val="22"/>
          <w:szCs w:val="22"/>
        </w:rPr>
        <w:t xml:space="preserve">‘the rapid replacement of fluid and electrolytes during strenuous physical activity that lasts 60 minutes or more’ must comply with separate legal compositional and other requirements designed to ensure that such drinks are in fact </w:t>
      </w:r>
      <w:r w:rsidRPr="00F03875">
        <w:rPr>
          <w:i/>
          <w:iCs/>
          <w:sz w:val="22"/>
          <w:szCs w:val="22"/>
        </w:rPr>
        <w:t>suitable</w:t>
      </w:r>
      <w:r w:rsidRPr="00F03875">
        <w:rPr>
          <w:sz w:val="22"/>
          <w:szCs w:val="22"/>
        </w:rPr>
        <w:t xml:space="preserve"> for that purpose.</w:t>
      </w:r>
    </w:p>
    <w:p w14:paraId="744E3EE2" w14:textId="0D3F2C41" w:rsidR="004F2CBD" w:rsidRPr="00951D15" w:rsidRDefault="00C628D2" w:rsidP="004F2CBD">
      <w:pPr>
        <w:pStyle w:val="FSTableText"/>
        <w:widowControl/>
        <w:spacing w:before="120" w:after="120"/>
        <w:rPr>
          <w:bCs/>
          <w:color w:val="000000"/>
          <w:sz w:val="22"/>
          <w:szCs w:val="22"/>
          <w:lang w:bidi="ar-SA"/>
        </w:rPr>
      </w:pPr>
      <w:r>
        <w:rPr>
          <w:bCs/>
          <w:color w:val="000000"/>
          <w:sz w:val="22"/>
          <w:szCs w:val="22"/>
          <w:lang w:bidi="ar-SA"/>
        </w:rPr>
        <w:t>As noted above, r</w:t>
      </w:r>
      <w:r w:rsidR="004F2CBD" w:rsidRPr="00951D15">
        <w:rPr>
          <w:bCs/>
          <w:color w:val="000000"/>
          <w:sz w:val="22"/>
          <w:szCs w:val="22"/>
          <w:lang w:bidi="ar-SA"/>
        </w:rPr>
        <w:t xml:space="preserve">eplacing the term ‘represented as’ with ‘formulated for’ affords for alignment with the compositional requirements in Standard 2.6.2. Additionally, FSANZ notes the Code requires that any requirement in Standard 2.6.2 must be met for any sale in which a purchaser is likely to assume that the food being sold was an </w:t>
      </w:r>
      <w:r w:rsidR="00A4171C">
        <w:rPr>
          <w:bCs/>
          <w:color w:val="000000"/>
          <w:sz w:val="22"/>
          <w:szCs w:val="22"/>
          <w:lang w:bidi="ar-SA"/>
        </w:rPr>
        <w:t>electrolyte drink</w:t>
      </w:r>
      <w:r w:rsidR="004F2CBD" w:rsidRPr="00951D15">
        <w:rPr>
          <w:bCs/>
          <w:color w:val="000000"/>
          <w:sz w:val="22"/>
          <w:szCs w:val="22"/>
          <w:lang w:bidi="ar-SA"/>
        </w:rPr>
        <w:t xml:space="preserve"> (sections 2.6.2—11(1) and 1.1.1—13). This would apply in addition to the general approach that any food </w:t>
      </w:r>
      <w:r w:rsidR="00A4171C">
        <w:rPr>
          <w:bCs/>
          <w:color w:val="000000"/>
          <w:sz w:val="22"/>
          <w:szCs w:val="22"/>
          <w:lang w:bidi="ar-SA"/>
        </w:rPr>
        <w:t>meeting the definition of an ‘electrolyte drink</w:t>
      </w:r>
      <w:r w:rsidR="004F2CBD" w:rsidRPr="00951D15">
        <w:rPr>
          <w:bCs/>
          <w:color w:val="000000"/>
          <w:sz w:val="22"/>
          <w:szCs w:val="22"/>
          <w:lang w:bidi="ar-SA"/>
        </w:rPr>
        <w:t xml:space="preserve">’ would have to meet the </w:t>
      </w:r>
      <w:r w:rsidR="00A4171C">
        <w:rPr>
          <w:bCs/>
          <w:color w:val="000000"/>
          <w:sz w:val="22"/>
          <w:szCs w:val="22"/>
          <w:lang w:bidi="ar-SA"/>
        </w:rPr>
        <w:t>electrolyte drink</w:t>
      </w:r>
      <w:r w:rsidR="004F2CBD" w:rsidRPr="00951D15">
        <w:rPr>
          <w:bCs/>
          <w:color w:val="000000"/>
          <w:sz w:val="22"/>
          <w:szCs w:val="22"/>
          <w:lang w:bidi="ar-SA"/>
        </w:rPr>
        <w:t xml:space="preserve"> requirements in Standard 2.6.2. </w:t>
      </w:r>
    </w:p>
    <w:p w14:paraId="45482D1A" w14:textId="22D08196" w:rsidR="004F2CBD" w:rsidRPr="000735DD" w:rsidRDefault="004F2CBD" w:rsidP="000735DD">
      <w:pPr>
        <w:pStyle w:val="FSTableText"/>
        <w:widowControl/>
        <w:spacing w:before="120" w:after="120"/>
        <w:rPr>
          <w:bCs/>
          <w:color w:val="000000"/>
          <w:sz w:val="22"/>
          <w:szCs w:val="22"/>
          <w:lang w:bidi="ar-SA"/>
        </w:rPr>
      </w:pPr>
      <w:r w:rsidRPr="00951D15">
        <w:rPr>
          <w:bCs/>
          <w:color w:val="000000"/>
          <w:sz w:val="22"/>
          <w:szCs w:val="22"/>
          <w:lang w:bidi="ar-SA"/>
        </w:rPr>
        <w:t>The mandatory pre</w:t>
      </w:r>
      <w:r w:rsidR="00A4171C">
        <w:rPr>
          <w:bCs/>
          <w:color w:val="000000"/>
          <w:sz w:val="22"/>
          <w:szCs w:val="22"/>
          <w:lang w:bidi="ar-SA"/>
        </w:rPr>
        <w:t>scribed name will also assist electrolyte drink</w:t>
      </w:r>
      <w:r w:rsidRPr="00951D15">
        <w:rPr>
          <w:bCs/>
          <w:color w:val="000000"/>
          <w:sz w:val="22"/>
          <w:szCs w:val="22"/>
          <w:lang w:bidi="ar-SA"/>
        </w:rPr>
        <w:t>s to be easily ident</w:t>
      </w:r>
      <w:r w:rsidR="000735DD">
        <w:rPr>
          <w:bCs/>
          <w:color w:val="000000"/>
          <w:sz w:val="22"/>
          <w:szCs w:val="22"/>
          <w:lang w:bidi="ar-SA"/>
        </w:rPr>
        <w:t>ified for enforcement purposes.</w:t>
      </w:r>
    </w:p>
    <w:p w14:paraId="7CF72385" w14:textId="67D6284E" w:rsidR="004F2CBD" w:rsidRPr="004F2CBD" w:rsidRDefault="004F2CBD" w:rsidP="00D64B11">
      <w:pPr>
        <w:pStyle w:val="Heading4"/>
        <w:rPr>
          <w:rFonts w:eastAsia="Calibri"/>
        </w:rPr>
      </w:pPr>
      <w:r>
        <w:rPr>
          <w:rFonts w:eastAsia="Calibri"/>
        </w:rPr>
        <w:t>2.</w:t>
      </w:r>
      <w:r w:rsidR="00C76679">
        <w:rPr>
          <w:rFonts w:eastAsia="Calibri"/>
        </w:rPr>
        <w:t>4</w:t>
      </w:r>
      <w:r>
        <w:rPr>
          <w:rFonts w:eastAsia="Calibri"/>
        </w:rPr>
        <w:t>.</w:t>
      </w:r>
      <w:r w:rsidR="000735DD">
        <w:rPr>
          <w:rFonts w:eastAsia="Calibri"/>
        </w:rPr>
        <w:t>2</w:t>
      </w:r>
      <w:r>
        <w:rPr>
          <w:rFonts w:eastAsia="Calibri"/>
        </w:rPr>
        <w:t>.2</w:t>
      </w:r>
      <w:r>
        <w:rPr>
          <w:rFonts w:eastAsia="Calibri"/>
        </w:rPr>
        <w:tab/>
      </w:r>
      <w:r w:rsidR="00793734">
        <w:rPr>
          <w:rFonts w:eastAsia="Calibri"/>
        </w:rPr>
        <w:t>‘</w:t>
      </w:r>
      <w:r w:rsidRPr="004F2CBD">
        <w:rPr>
          <w:rFonts w:eastAsia="Calibri"/>
        </w:rPr>
        <w:t>C</w:t>
      </w:r>
      <w:r w:rsidR="000735DD">
        <w:rPr>
          <w:rFonts w:eastAsia="Calibri"/>
        </w:rPr>
        <w:t>arbohydrate</w:t>
      </w:r>
      <w:r w:rsidR="00793734">
        <w:rPr>
          <w:rFonts w:eastAsia="Calibri"/>
        </w:rPr>
        <w:t>’</w:t>
      </w:r>
      <w:r w:rsidR="000735DD">
        <w:rPr>
          <w:rFonts w:eastAsia="Calibri"/>
        </w:rPr>
        <w:t xml:space="preserve"> </w:t>
      </w:r>
    </w:p>
    <w:p w14:paraId="37BC00B9" w14:textId="77777777" w:rsidR="00D47D20" w:rsidRPr="00D64B11" w:rsidRDefault="00D47D20" w:rsidP="00D64B11">
      <w:pPr>
        <w:widowControl/>
        <w:spacing w:before="120" w:after="120"/>
        <w:rPr>
          <w:i/>
        </w:rPr>
      </w:pPr>
      <w:r w:rsidRPr="00D64B11">
        <w:rPr>
          <w:i/>
        </w:rPr>
        <w:t xml:space="preserve">Proposed approach and amendments in 2021 </w:t>
      </w:r>
    </w:p>
    <w:p w14:paraId="21D1A30C" w14:textId="4B9BCAD0" w:rsidR="00C628D2" w:rsidRDefault="00D906AD" w:rsidP="00D64B11">
      <w:pPr>
        <w:spacing w:before="120" w:after="120"/>
      </w:pPr>
      <w:r>
        <w:t>In the 2021 Consultation Paper</w:t>
      </w:r>
      <w:r w:rsidR="004F2CBD">
        <w:t>, FSANZ proposed</w:t>
      </w:r>
      <w:r w:rsidR="007F18E3">
        <w:t xml:space="preserve"> amending</w:t>
      </w:r>
      <w:r w:rsidR="00C628D2">
        <w:t xml:space="preserve"> the definition in the 2014 draft variation to remove</w:t>
      </w:r>
      <w:r w:rsidR="004F2CBD">
        <w:t xml:space="preserve"> the term ‘carbohydrate</w:t>
      </w:r>
      <w:r w:rsidR="007F18E3">
        <w:t xml:space="preserve">’. This was on the basis that </w:t>
      </w:r>
      <w:r w:rsidR="004F2CBD" w:rsidDel="007F18E3">
        <w:t xml:space="preserve">the </w:t>
      </w:r>
      <w:r w:rsidR="004F2CBD">
        <w:t xml:space="preserve">minimum </w:t>
      </w:r>
      <w:r w:rsidR="007F18E3">
        <w:t xml:space="preserve">required </w:t>
      </w:r>
      <w:r w:rsidR="004F2CBD">
        <w:t xml:space="preserve">carbohydrate content </w:t>
      </w:r>
      <w:r w:rsidR="007F18E3">
        <w:t xml:space="preserve">for </w:t>
      </w:r>
      <w:r w:rsidR="007F18E3">
        <w:rPr>
          <w:bCs/>
          <w:color w:val="000000"/>
          <w:szCs w:val="22"/>
          <w:lang w:bidi="ar-SA"/>
        </w:rPr>
        <w:t>electrolyte drink</w:t>
      </w:r>
      <w:r w:rsidR="00DE3EF7">
        <w:rPr>
          <w:bCs/>
          <w:color w:val="000000"/>
          <w:szCs w:val="22"/>
          <w:lang w:bidi="ar-SA"/>
        </w:rPr>
        <w:t>s</w:t>
      </w:r>
      <w:r w:rsidR="007F18E3" w:rsidRPr="00951D15">
        <w:rPr>
          <w:bCs/>
          <w:color w:val="000000"/>
          <w:szCs w:val="22"/>
          <w:lang w:bidi="ar-SA"/>
        </w:rPr>
        <w:t xml:space="preserve"> </w:t>
      </w:r>
      <w:r w:rsidR="004F2CBD">
        <w:t xml:space="preserve">was </w:t>
      </w:r>
      <w:r w:rsidR="00C628D2">
        <w:t xml:space="preserve">also </w:t>
      </w:r>
      <w:r w:rsidR="004F2CBD">
        <w:t>being reduced and</w:t>
      </w:r>
      <w:r w:rsidR="00C628D2">
        <w:t>,</w:t>
      </w:r>
      <w:r w:rsidR="004F2CBD">
        <w:t xml:space="preserve"> as a result</w:t>
      </w:r>
      <w:r w:rsidR="00C628D2">
        <w:t xml:space="preserve">, </w:t>
      </w:r>
      <w:r w:rsidR="004F2CBD">
        <w:t xml:space="preserve">both </w:t>
      </w:r>
      <w:r w:rsidR="007F18E3">
        <w:t xml:space="preserve">carbohydrate’s </w:t>
      </w:r>
      <w:r w:rsidR="004F2CBD">
        <w:t>replacement and contribution as an energy source</w:t>
      </w:r>
      <w:r w:rsidR="004F2CBD" w:rsidRPr="003244D8">
        <w:t xml:space="preserve"> </w:t>
      </w:r>
      <w:r w:rsidR="004F2CBD">
        <w:t xml:space="preserve">should no longer be given prominence. </w:t>
      </w:r>
    </w:p>
    <w:p w14:paraId="700CD409" w14:textId="7BEBD583" w:rsidR="00C628D2" w:rsidRDefault="00C628D2" w:rsidP="00D64B11">
      <w:pPr>
        <w:spacing w:before="120" w:after="120"/>
      </w:pPr>
      <w:r>
        <w:t>Industry submitters in 2021 opposed this on the grounds summarised in Table 1 above</w:t>
      </w:r>
      <w:r w:rsidR="00DE3EF7">
        <w:t xml:space="preserve">. </w:t>
      </w:r>
    </w:p>
    <w:p w14:paraId="14A51A23" w14:textId="77777777" w:rsidR="00D47D20" w:rsidRPr="00D64B11" w:rsidRDefault="00D47D20" w:rsidP="00D64B11">
      <w:pPr>
        <w:widowControl/>
        <w:spacing w:before="120" w:after="120"/>
        <w:rPr>
          <w:i/>
        </w:rPr>
      </w:pPr>
      <w:r w:rsidRPr="00D64B11">
        <w:rPr>
          <w:i/>
        </w:rPr>
        <w:t>FSANZ’s decision</w:t>
      </w:r>
    </w:p>
    <w:p w14:paraId="6913D75B" w14:textId="576C4862" w:rsidR="00CD4A31" w:rsidRDefault="00C628D2" w:rsidP="00D64B11">
      <w:pPr>
        <w:spacing w:before="120" w:after="120"/>
      </w:pPr>
      <w:r w:rsidRPr="007F18E3">
        <w:t>After consideration of submissions</w:t>
      </w:r>
      <w:r w:rsidR="004F2CBD" w:rsidRPr="007F18E3">
        <w:t xml:space="preserve">, FSANZ </w:t>
      </w:r>
      <w:r w:rsidRPr="007F18E3">
        <w:t>decided to</w:t>
      </w:r>
      <w:r w:rsidR="004F2CBD" w:rsidRPr="007F18E3">
        <w:t xml:space="preserve"> </w:t>
      </w:r>
      <w:r w:rsidR="00D65582">
        <w:t>include</w:t>
      </w:r>
      <w:r w:rsidR="004F2CBD" w:rsidRPr="007F18E3">
        <w:t xml:space="preserve"> the term ‘carbohydrate</w:t>
      </w:r>
      <w:r w:rsidR="007F18E3" w:rsidRPr="007F18E3">
        <w:t xml:space="preserve">’ in the definition. </w:t>
      </w:r>
      <w:r w:rsidR="00D65582">
        <w:t>This</w:t>
      </w:r>
      <w:r w:rsidR="007F18E3" w:rsidRPr="007F18E3">
        <w:t xml:space="preserve"> reference will </w:t>
      </w:r>
      <w:r w:rsidR="004F2CBD">
        <w:t xml:space="preserve">strengthen the link between the intended purpose and definition and the role of carbohydrate </w:t>
      </w:r>
      <w:r w:rsidR="004F2CBD" w:rsidRPr="00D64B11">
        <w:t xml:space="preserve">in hydration and performance. </w:t>
      </w:r>
      <w:r w:rsidR="004F2CBD">
        <w:t xml:space="preserve">Its retention also reflects the mandatory compositional requirements in totality, noting the definition does not allow for zero carbohydrate </w:t>
      </w:r>
      <w:r w:rsidR="00A4171C">
        <w:t>electrolyte drink</w:t>
      </w:r>
      <w:r w:rsidR="004F2CBD">
        <w:t>s.</w:t>
      </w:r>
      <w:r w:rsidR="00B56081">
        <w:t xml:space="preserve"> </w:t>
      </w:r>
    </w:p>
    <w:p w14:paraId="558FDBA9" w14:textId="110E2B20" w:rsidR="00CD4A31" w:rsidRPr="00FF5369" w:rsidRDefault="00CD4A31" w:rsidP="00FF5369">
      <w:pPr>
        <w:pStyle w:val="Heading4"/>
        <w:rPr>
          <w:rFonts w:eastAsia="Calibri"/>
        </w:rPr>
      </w:pPr>
      <w:r w:rsidRPr="00FF5369">
        <w:rPr>
          <w:rFonts w:eastAsia="Calibri"/>
        </w:rPr>
        <w:t>2.</w:t>
      </w:r>
      <w:r w:rsidR="00C76679" w:rsidRPr="00FF5369">
        <w:rPr>
          <w:rFonts w:eastAsia="Calibri"/>
        </w:rPr>
        <w:t>4</w:t>
      </w:r>
      <w:r w:rsidRPr="00FF5369">
        <w:rPr>
          <w:rFonts w:eastAsia="Calibri"/>
        </w:rPr>
        <w:t>.2.</w:t>
      </w:r>
      <w:r w:rsidR="0024037E" w:rsidRPr="00FF5369">
        <w:rPr>
          <w:rFonts w:eastAsia="Calibri"/>
        </w:rPr>
        <w:t>3</w:t>
      </w:r>
      <w:r w:rsidRPr="00FF5369">
        <w:rPr>
          <w:rFonts w:eastAsia="Calibri"/>
        </w:rPr>
        <w:tab/>
        <w:t>Minimum time reference</w:t>
      </w:r>
    </w:p>
    <w:p w14:paraId="4ED57A78" w14:textId="77777777" w:rsidR="00D47D20" w:rsidRPr="0034053B" w:rsidRDefault="00D47D20" w:rsidP="00D47D20">
      <w:pPr>
        <w:pStyle w:val="Heading4"/>
        <w:keepNext w:val="0"/>
        <w:widowControl/>
        <w:spacing w:before="120" w:after="120"/>
        <w:rPr>
          <w:b w:val="0"/>
          <w:lang w:eastAsia="en-AU"/>
        </w:rPr>
      </w:pPr>
      <w:r w:rsidRPr="0034053B">
        <w:rPr>
          <w:b w:val="0"/>
          <w:lang w:eastAsia="en-AU"/>
        </w:rPr>
        <w:t xml:space="preserve">Proposed approach </w:t>
      </w:r>
      <w:r>
        <w:rPr>
          <w:b w:val="0"/>
          <w:lang w:eastAsia="en-AU"/>
        </w:rPr>
        <w:t xml:space="preserve">and amendments </w:t>
      </w:r>
      <w:r w:rsidRPr="0034053B">
        <w:rPr>
          <w:b w:val="0"/>
          <w:lang w:eastAsia="en-AU"/>
        </w:rPr>
        <w:t xml:space="preserve">in </w:t>
      </w:r>
      <w:r>
        <w:rPr>
          <w:b w:val="0"/>
          <w:lang w:eastAsia="en-AU"/>
        </w:rPr>
        <w:t>2021</w:t>
      </w:r>
      <w:r w:rsidRPr="0034053B">
        <w:rPr>
          <w:b w:val="0"/>
          <w:lang w:eastAsia="en-AU"/>
        </w:rPr>
        <w:t xml:space="preserve"> </w:t>
      </w:r>
    </w:p>
    <w:p w14:paraId="7019B4F0" w14:textId="7AF6F245" w:rsidR="007F18E3" w:rsidRDefault="007F18E3" w:rsidP="00D05DF0">
      <w:pPr>
        <w:pStyle w:val="FSTableText"/>
        <w:widowControl/>
        <w:spacing w:before="120" w:after="120"/>
        <w:rPr>
          <w:bCs/>
          <w:color w:val="000000"/>
          <w:sz w:val="22"/>
          <w:szCs w:val="22"/>
          <w:lang w:bidi="ar-SA"/>
        </w:rPr>
      </w:pPr>
      <w:r w:rsidRPr="007F18E3">
        <w:rPr>
          <w:sz w:val="22"/>
          <w:szCs w:val="22"/>
        </w:rPr>
        <w:t>In the 2021 Consultation Paper, FSANZ proposed amending the definition in the 2014 draft variation to</w:t>
      </w:r>
      <w:r w:rsidRPr="007F18E3">
        <w:rPr>
          <w:bCs/>
          <w:color w:val="000000"/>
          <w:sz w:val="22"/>
          <w:szCs w:val="22"/>
          <w:lang w:bidi="ar-SA"/>
        </w:rPr>
        <w:t xml:space="preserve"> </w:t>
      </w:r>
      <w:r w:rsidR="00654C05" w:rsidRPr="00D05DF0">
        <w:rPr>
          <w:bCs/>
          <w:color w:val="000000"/>
          <w:sz w:val="22"/>
          <w:szCs w:val="22"/>
          <w:lang w:bidi="ar-SA"/>
        </w:rPr>
        <w:t>include a minimum time period of 60 minutes</w:t>
      </w:r>
      <w:r>
        <w:rPr>
          <w:bCs/>
          <w:color w:val="000000"/>
          <w:sz w:val="22"/>
          <w:szCs w:val="22"/>
          <w:lang w:bidi="ar-SA"/>
        </w:rPr>
        <w:t xml:space="preserve">. This was to </w:t>
      </w:r>
      <w:r w:rsidR="00B931BA" w:rsidRPr="00D05DF0">
        <w:rPr>
          <w:bCs/>
          <w:color w:val="000000"/>
          <w:sz w:val="22"/>
          <w:szCs w:val="22"/>
          <w:lang w:bidi="ar-SA"/>
        </w:rPr>
        <w:t>clarify what is meant by sustained strenuous physical activity</w:t>
      </w:r>
      <w:r w:rsidR="005762AA" w:rsidRPr="00D05DF0">
        <w:rPr>
          <w:bCs/>
          <w:color w:val="000000"/>
          <w:sz w:val="22"/>
          <w:szCs w:val="22"/>
          <w:lang w:bidi="ar-SA"/>
        </w:rPr>
        <w:t>.</w:t>
      </w:r>
      <w:r w:rsidR="005370B3" w:rsidRPr="00D05DF0">
        <w:rPr>
          <w:bCs/>
          <w:color w:val="000000"/>
          <w:sz w:val="22"/>
          <w:szCs w:val="22"/>
          <w:lang w:bidi="ar-SA"/>
        </w:rPr>
        <w:t xml:space="preserve"> </w:t>
      </w:r>
    </w:p>
    <w:p w14:paraId="4277D500" w14:textId="2C39FA86" w:rsidR="00D47D20" w:rsidRDefault="007F18E3" w:rsidP="00D05DF0">
      <w:pPr>
        <w:pStyle w:val="FSTableText"/>
        <w:widowControl/>
        <w:spacing w:before="120" w:after="120"/>
        <w:rPr>
          <w:bCs/>
          <w:color w:val="000000"/>
          <w:sz w:val="22"/>
          <w:szCs w:val="22"/>
          <w:lang w:bidi="ar-SA"/>
        </w:rPr>
      </w:pPr>
      <w:r>
        <w:rPr>
          <w:bCs/>
          <w:color w:val="000000"/>
          <w:sz w:val="22"/>
          <w:szCs w:val="22"/>
          <w:lang w:bidi="ar-SA"/>
        </w:rPr>
        <w:t>There</w:t>
      </w:r>
      <w:r w:rsidR="005762AA" w:rsidRPr="00D05DF0">
        <w:rPr>
          <w:bCs/>
          <w:color w:val="000000"/>
          <w:sz w:val="22"/>
          <w:szCs w:val="22"/>
          <w:lang w:bidi="ar-SA"/>
        </w:rPr>
        <w:t xml:space="preserve"> was in-principle support from government and public health submitters</w:t>
      </w:r>
      <w:r>
        <w:rPr>
          <w:bCs/>
          <w:color w:val="000000"/>
          <w:sz w:val="22"/>
          <w:szCs w:val="22"/>
          <w:lang w:bidi="ar-SA"/>
        </w:rPr>
        <w:t xml:space="preserve"> in 2021. However, </w:t>
      </w:r>
      <w:r w:rsidR="005762AA" w:rsidRPr="00D05DF0">
        <w:rPr>
          <w:bCs/>
          <w:color w:val="000000"/>
          <w:sz w:val="22"/>
          <w:szCs w:val="22"/>
          <w:lang w:bidi="ar-SA"/>
        </w:rPr>
        <w:t>i</w:t>
      </w:r>
      <w:r w:rsidR="00B931BA" w:rsidRPr="00D05DF0">
        <w:rPr>
          <w:bCs/>
          <w:color w:val="000000"/>
          <w:sz w:val="22"/>
          <w:szCs w:val="22"/>
          <w:lang w:bidi="ar-SA"/>
        </w:rPr>
        <w:t>ndustry submitters</w:t>
      </w:r>
      <w:r w:rsidR="005370B3" w:rsidRPr="00D05DF0">
        <w:rPr>
          <w:bCs/>
          <w:color w:val="000000"/>
          <w:sz w:val="22"/>
          <w:szCs w:val="22"/>
          <w:lang w:bidi="ar-SA"/>
        </w:rPr>
        <w:t xml:space="preserve"> viewed the </w:t>
      </w:r>
      <w:r>
        <w:rPr>
          <w:bCs/>
          <w:color w:val="000000"/>
          <w:sz w:val="22"/>
          <w:szCs w:val="22"/>
          <w:lang w:bidi="ar-SA"/>
        </w:rPr>
        <w:t xml:space="preserve">reference to </w:t>
      </w:r>
      <w:r w:rsidR="00D65582">
        <w:rPr>
          <w:bCs/>
          <w:color w:val="000000"/>
          <w:sz w:val="22"/>
          <w:szCs w:val="22"/>
          <w:lang w:bidi="ar-SA"/>
        </w:rPr>
        <w:t xml:space="preserve">this time period </w:t>
      </w:r>
      <w:r w:rsidR="005370B3" w:rsidRPr="00D05DF0">
        <w:rPr>
          <w:bCs/>
          <w:color w:val="000000"/>
          <w:sz w:val="22"/>
          <w:szCs w:val="22"/>
          <w:lang w:bidi="ar-SA"/>
        </w:rPr>
        <w:t>as overly prescriptive and sought its removal</w:t>
      </w:r>
      <w:r>
        <w:rPr>
          <w:bCs/>
          <w:color w:val="000000"/>
          <w:sz w:val="22"/>
          <w:szCs w:val="22"/>
          <w:lang w:bidi="ar-SA"/>
        </w:rPr>
        <w:t xml:space="preserve"> (see Table 1 above).</w:t>
      </w:r>
    </w:p>
    <w:p w14:paraId="52CE8395" w14:textId="77777777" w:rsidR="00D47D20" w:rsidRPr="005762AA" w:rsidRDefault="00D47D20" w:rsidP="00D47D20">
      <w:pPr>
        <w:rPr>
          <w:rFonts w:cs="Arial"/>
          <w:szCs w:val="22"/>
          <w:lang w:bidi="ar-SA"/>
        </w:rPr>
      </w:pPr>
      <w:r w:rsidRPr="005762AA">
        <w:rPr>
          <w:rFonts w:cs="Arial"/>
          <w:szCs w:val="22"/>
        </w:rPr>
        <w:t xml:space="preserve">Several government and public health submitters </w:t>
      </w:r>
      <w:r>
        <w:rPr>
          <w:rFonts w:cs="Arial"/>
          <w:szCs w:val="22"/>
        </w:rPr>
        <w:t>in 2021 also suggested</w:t>
      </w:r>
      <w:r w:rsidRPr="005762AA">
        <w:rPr>
          <w:rFonts w:cs="Arial"/>
          <w:szCs w:val="22"/>
        </w:rPr>
        <w:t xml:space="preserve"> alternative wording </w:t>
      </w:r>
      <w:r>
        <w:rPr>
          <w:rFonts w:cs="Arial"/>
          <w:szCs w:val="22"/>
        </w:rPr>
        <w:t xml:space="preserve">for the definition </w:t>
      </w:r>
      <w:r w:rsidRPr="005762AA">
        <w:rPr>
          <w:rFonts w:cs="Arial"/>
          <w:szCs w:val="22"/>
        </w:rPr>
        <w:t>to clarify intended use including:</w:t>
      </w:r>
    </w:p>
    <w:p w14:paraId="4E2BCB0C" w14:textId="77777777" w:rsidR="0086147F" w:rsidRPr="005762AA" w:rsidRDefault="0086147F" w:rsidP="00D47D20">
      <w:pPr>
        <w:rPr>
          <w:rFonts w:cs="Arial"/>
          <w:szCs w:val="22"/>
          <w:lang w:bidi="ar-SA"/>
        </w:rPr>
      </w:pPr>
    </w:p>
    <w:p w14:paraId="579AC8F0" w14:textId="77777777" w:rsidR="00D47D20" w:rsidRPr="005762AA" w:rsidRDefault="00D47D20" w:rsidP="0086147F">
      <w:pPr>
        <w:pStyle w:val="FSBullet1"/>
        <w:ind w:left="567" w:hanging="567"/>
        <w:rPr>
          <w:szCs w:val="22"/>
        </w:rPr>
      </w:pPr>
      <w:r>
        <w:rPr>
          <w:szCs w:val="22"/>
        </w:rPr>
        <w:t>s</w:t>
      </w:r>
      <w:r w:rsidRPr="005762AA">
        <w:rPr>
          <w:szCs w:val="22"/>
        </w:rPr>
        <w:t xml:space="preserve">ubstituting ‘during or after 60 minutes or more’ with ‘that lasts 60 minutes or more’  </w:t>
      </w:r>
    </w:p>
    <w:p w14:paraId="681B88E9" w14:textId="77777777" w:rsidR="00D47D20" w:rsidRPr="005762AA" w:rsidRDefault="00D47D20" w:rsidP="0086147F">
      <w:pPr>
        <w:pStyle w:val="FSBullet1"/>
        <w:ind w:left="567" w:hanging="567"/>
        <w:rPr>
          <w:szCs w:val="22"/>
        </w:rPr>
      </w:pPr>
      <w:r w:rsidRPr="005762AA">
        <w:rPr>
          <w:szCs w:val="22"/>
        </w:rPr>
        <w:t xml:space="preserve">inclusion of the word ‘constant’  </w:t>
      </w:r>
    </w:p>
    <w:p w14:paraId="036037CD" w14:textId="77777777" w:rsidR="00D47D20" w:rsidRPr="005762AA" w:rsidRDefault="00D47D20" w:rsidP="0086147F">
      <w:pPr>
        <w:pStyle w:val="FSBullet1"/>
        <w:ind w:left="567" w:hanging="567"/>
        <w:rPr>
          <w:szCs w:val="22"/>
        </w:rPr>
      </w:pPr>
      <w:r w:rsidRPr="005762AA">
        <w:rPr>
          <w:szCs w:val="22"/>
        </w:rPr>
        <w:t>replacing the term ‘sustained’ with ‘vigorous’</w:t>
      </w:r>
      <w:r>
        <w:rPr>
          <w:szCs w:val="22"/>
        </w:rPr>
        <w:t>,</w:t>
      </w:r>
      <w:r w:rsidRPr="005762AA">
        <w:rPr>
          <w:szCs w:val="22"/>
        </w:rPr>
        <w:t xml:space="preserve"> </w:t>
      </w:r>
      <w:r>
        <w:rPr>
          <w:szCs w:val="22"/>
        </w:rPr>
        <w:t>and</w:t>
      </w:r>
    </w:p>
    <w:p w14:paraId="1D496F31" w14:textId="3C481A56" w:rsidR="00D47D20" w:rsidRDefault="00D47D20" w:rsidP="0086147F">
      <w:pPr>
        <w:pStyle w:val="FSBullet1"/>
        <w:ind w:left="567" w:hanging="567"/>
      </w:pPr>
      <w:r w:rsidRPr="005762AA">
        <w:rPr>
          <w:szCs w:val="22"/>
        </w:rPr>
        <w:t xml:space="preserve">inserting ‘immediately after’ </w:t>
      </w:r>
      <w:r w:rsidR="0086147F">
        <w:t xml:space="preserve">with </w:t>
      </w:r>
      <w:r w:rsidRPr="005762AA">
        <w:rPr>
          <w:szCs w:val="22"/>
        </w:rPr>
        <w:t xml:space="preserve">reference to </w:t>
      </w:r>
      <w:r w:rsidR="0086147F">
        <w:t xml:space="preserve">the </w:t>
      </w:r>
      <w:r w:rsidRPr="005762AA">
        <w:rPr>
          <w:szCs w:val="22"/>
        </w:rPr>
        <w:t xml:space="preserve">60 minutes </w:t>
      </w:r>
      <w:r w:rsidR="0086147F">
        <w:t>timeframe</w:t>
      </w:r>
      <w:r>
        <w:rPr>
          <w:szCs w:val="22"/>
        </w:rPr>
        <w:t>.</w:t>
      </w:r>
    </w:p>
    <w:p w14:paraId="0197C09E" w14:textId="77777777" w:rsidR="00D47D20" w:rsidRPr="0034053B" w:rsidRDefault="00D47D20" w:rsidP="00D64B11">
      <w:pPr>
        <w:widowControl/>
        <w:spacing w:before="120" w:after="120"/>
        <w:rPr>
          <w:i/>
        </w:rPr>
      </w:pPr>
      <w:r w:rsidRPr="00D64B11">
        <w:rPr>
          <w:i/>
        </w:rPr>
        <w:t>FSANZ’s decision</w:t>
      </w:r>
    </w:p>
    <w:p w14:paraId="4122A5FA" w14:textId="485FA13F" w:rsidR="00D05DF0" w:rsidRPr="00D05DF0" w:rsidRDefault="007F18E3" w:rsidP="00D05DF0">
      <w:pPr>
        <w:pStyle w:val="FSTableText"/>
        <w:widowControl/>
        <w:spacing w:before="120" w:after="120"/>
        <w:rPr>
          <w:bCs/>
          <w:color w:val="000000"/>
          <w:sz w:val="22"/>
          <w:szCs w:val="22"/>
          <w:lang w:bidi="ar-SA"/>
        </w:rPr>
      </w:pPr>
      <w:r w:rsidRPr="00D65582">
        <w:rPr>
          <w:sz w:val="22"/>
          <w:szCs w:val="22"/>
        </w:rPr>
        <w:t>After consideration of submissions, FSANZ decided to</w:t>
      </w:r>
      <w:r>
        <w:t xml:space="preserve"> </w:t>
      </w:r>
      <w:r w:rsidR="00D65582">
        <w:rPr>
          <w:bCs/>
          <w:color w:val="000000"/>
          <w:sz w:val="22"/>
          <w:szCs w:val="22"/>
          <w:lang w:bidi="ar-SA"/>
        </w:rPr>
        <w:t xml:space="preserve">retain the 60 minute </w:t>
      </w:r>
      <w:r w:rsidR="00E04992">
        <w:rPr>
          <w:bCs/>
          <w:color w:val="000000"/>
          <w:sz w:val="22"/>
          <w:szCs w:val="22"/>
          <w:lang w:bidi="ar-SA"/>
        </w:rPr>
        <w:t>minimum time reference</w:t>
      </w:r>
      <w:r w:rsidR="00D65582">
        <w:rPr>
          <w:bCs/>
          <w:color w:val="000000"/>
          <w:sz w:val="22"/>
          <w:szCs w:val="22"/>
          <w:lang w:bidi="ar-SA"/>
        </w:rPr>
        <w:t>. The reference</w:t>
      </w:r>
      <w:r w:rsidR="00E04992">
        <w:rPr>
          <w:bCs/>
          <w:color w:val="000000"/>
          <w:sz w:val="22"/>
          <w:szCs w:val="22"/>
          <w:lang w:bidi="ar-SA"/>
        </w:rPr>
        <w:t xml:space="preserve"> </w:t>
      </w:r>
      <w:r w:rsidR="00CD5601" w:rsidRPr="00D05DF0">
        <w:rPr>
          <w:bCs/>
          <w:color w:val="000000"/>
          <w:sz w:val="22"/>
          <w:szCs w:val="22"/>
          <w:lang w:bidi="ar-SA"/>
        </w:rPr>
        <w:t>was based on the scientific evidence provided in SD1</w:t>
      </w:r>
      <w:r w:rsidR="00D64B11">
        <w:rPr>
          <w:bCs/>
          <w:color w:val="000000"/>
          <w:sz w:val="22"/>
          <w:szCs w:val="22"/>
          <w:lang w:bidi="ar-SA"/>
        </w:rPr>
        <w:t xml:space="preserve"> to this</w:t>
      </w:r>
      <w:r w:rsidR="00A35053">
        <w:rPr>
          <w:bCs/>
          <w:color w:val="000000"/>
          <w:sz w:val="22"/>
          <w:szCs w:val="22"/>
          <w:lang w:bidi="ar-SA"/>
        </w:rPr>
        <w:t xml:space="preserve"> </w:t>
      </w:r>
      <w:r w:rsidR="00A35053">
        <w:rPr>
          <w:bCs/>
          <w:color w:val="000000"/>
          <w:sz w:val="22"/>
          <w:szCs w:val="22"/>
          <w:lang w:bidi="ar-SA"/>
        </w:rPr>
        <w:lastRenderedPageBreak/>
        <w:t>Report</w:t>
      </w:r>
      <w:r w:rsidR="00CD5601" w:rsidRPr="00D05DF0">
        <w:rPr>
          <w:bCs/>
          <w:color w:val="000000"/>
          <w:sz w:val="22"/>
          <w:szCs w:val="22"/>
          <w:lang w:bidi="ar-SA"/>
        </w:rPr>
        <w:t xml:space="preserve">. </w:t>
      </w:r>
      <w:r w:rsidR="007C6A52" w:rsidRPr="00D05DF0">
        <w:rPr>
          <w:bCs/>
          <w:color w:val="000000"/>
          <w:sz w:val="22"/>
          <w:szCs w:val="22"/>
          <w:lang w:bidi="ar-SA"/>
        </w:rPr>
        <w:t xml:space="preserve">FSANZ considers its inclusion </w:t>
      </w:r>
      <w:r w:rsidR="00CD0AED" w:rsidRPr="00D05DF0">
        <w:rPr>
          <w:bCs/>
          <w:color w:val="000000"/>
          <w:sz w:val="22"/>
          <w:szCs w:val="22"/>
          <w:lang w:bidi="ar-SA"/>
        </w:rPr>
        <w:t xml:space="preserve">necessary as it provides clarity for both target and non-target </w:t>
      </w:r>
      <w:r w:rsidR="00CD5601" w:rsidRPr="00D05DF0">
        <w:rPr>
          <w:bCs/>
          <w:color w:val="000000"/>
          <w:sz w:val="22"/>
          <w:szCs w:val="22"/>
          <w:lang w:bidi="ar-SA"/>
        </w:rPr>
        <w:t xml:space="preserve">end users </w:t>
      </w:r>
      <w:r w:rsidR="00CD0AED" w:rsidRPr="00D05DF0">
        <w:rPr>
          <w:bCs/>
          <w:color w:val="000000"/>
          <w:sz w:val="22"/>
          <w:szCs w:val="22"/>
          <w:lang w:bidi="ar-SA"/>
        </w:rPr>
        <w:t>to more clearly</w:t>
      </w:r>
      <w:r w:rsidR="00D05DF0" w:rsidRPr="00D05DF0">
        <w:rPr>
          <w:bCs/>
          <w:color w:val="000000"/>
          <w:sz w:val="22"/>
          <w:szCs w:val="22"/>
          <w:lang w:bidi="ar-SA"/>
        </w:rPr>
        <w:t xml:space="preserve"> identify the intended purpose.</w:t>
      </w:r>
    </w:p>
    <w:p w14:paraId="3E69CE1B" w14:textId="719A467E" w:rsidR="00221389" w:rsidRPr="00D65582" w:rsidRDefault="00D65582" w:rsidP="00221389">
      <w:pPr>
        <w:pStyle w:val="FSTableText"/>
        <w:widowControl/>
        <w:spacing w:before="120" w:after="120"/>
        <w:rPr>
          <w:sz w:val="22"/>
          <w:szCs w:val="22"/>
          <w:lang w:bidi="ar-SA"/>
        </w:rPr>
      </w:pPr>
      <w:r w:rsidRPr="008F17CC">
        <w:rPr>
          <w:sz w:val="22"/>
          <w:szCs w:val="22"/>
        </w:rPr>
        <w:t>After consideration of submissions, FSANZ decided to</w:t>
      </w:r>
      <w:r w:rsidRPr="00C666C3">
        <w:rPr>
          <w:sz w:val="22"/>
          <w:szCs w:val="22"/>
        </w:rPr>
        <w:t xml:space="preserve"> </w:t>
      </w:r>
      <w:r w:rsidR="00C666C3" w:rsidRPr="008F17CC">
        <w:rPr>
          <w:bCs/>
          <w:color w:val="000000"/>
          <w:sz w:val="22"/>
          <w:szCs w:val="22"/>
          <w:lang w:bidi="ar-SA"/>
        </w:rPr>
        <w:t xml:space="preserve">not to adopt </w:t>
      </w:r>
      <w:r w:rsidR="00C666C3">
        <w:rPr>
          <w:bCs/>
          <w:color w:val="000000"/>
          <w:sz w:val="22"/>
          <w:szCs w:val="22"/>
          <w:lang w:bidi="ar-SA"/>
        </w:rPr>
        <w:t xml:space="preserve">the above-mentioned </w:t>
      </w:r>
      <w:r w:rsidR="00C666C3" w:rsidRPr="00C666C3">
        <w:rPr>
          <w:sz w:val="22"/>
          <w:szCs w:val="22"/>
        </w:rPr>
        <w:t>suggested alternative wording</w:t>
      </w:r>
      <w:r w:rsidRPr="008F17CC">
        <w:rPr>
          <w:bCs/>
          <w:color w:val="000000"/>
          <w:sz w:val="22"/>
          <w:szCs w:val="22"/>
          <w:lang w:bidi="ar-SA"/>
        </w:rPr>
        <w:t>.</w:t>
      </w:r>
      <w:r w:rsidRPr="00D65582">
        <w:rPr>
          <w:bCs/>
          <w:color w:val="000000"/>
          <w:sz w:val="22"/>
          <w:szCs w:val="22"/>
          <w:lang w:bidi="ar-SA"/>
        </w:rPr>
        <w:t xml:space="preserve"> </w:t>
      </w:r>
      <w:r w:rsidRPr="00D64006">
        <w:rPr>
          <w:sz w:val="22"/>
          <w:szCs w:val="22"/>
          <w:lang w:bidi="ar-SA"/>
        </w:rPr>
        <w:t xml:space="preserve">The </w:t>
      </w:r>
      <w:r>
        <w:rPr>
          <w:sz w:val="22"/>
          <w:szCs w:val="22"/>
          <w:lang w:bidi="ar-SA"/>
        </w:rPr>
        <w:t>meaning of</w:t>
      </w:r>
      <w:r w:rsidRPr="00D64006">
        <w:rPr>
          <w:sz w:val="22"/>
          <w:szCs w:val="22"/>
          <w:lang w:bidi="ar-SA"/>
        </w:rPr>
        <w:t xml:space="preserve"> </w:t>
      </w:r>
      <w:r>
        <w:rPr>
          <w:sz w:val="22"/>
          <w:szCs w:val="22"/>
          <w:lang w:bidi="ar-SA"/>
        </w:rPr>
        <w:t>the</w:t>
      </w:r>
      <w:r w:rsidRPr="00D65582">
        <w:rPr>
          <w:sz w:val="22"/>
          <w:szCs w:val="22"/>
          <w:lang w:bidi="ar-SA"/>
        </w:rPr>
        <w:t xml:space="preserve"> terms </w:t>
      </w:r>
      <w:r w:rsidRPr="00D65582">
        <w:rPr>
          <w:i/>
          <w:sz w:val="22"/>
          <w:szCs w:val="22"/>
          <w:lang w:bidi="ar-SA"/>
        </w:rPr>
        <w:t>strenuous</w:t>
      </w:r>
      <w:r w:rsidRPr="00D65582">
        <w:rPr>
          <w:sz w:val="22"/>
          <w:szCs w:val="22"/>
          <w:lang w:bidi="ar-SA"/>
        </w:rPr>
        <w:t xml:space="preserve"> and </w:t>
      </w:r>
      <w:r w:rsidRPr="00D65582">
        <w:rPr>
          <w:i/>
          <w:sz w:val="22"/>
          <w:szCs w:val="22"/>
          <w:lang w:bidi="ar-SA"/>
        </w:rPr>
        <w:t>rapid replacement</w:t>
      </w:r>
      <w:r w:rsidRPr="00D65582">
        <w:rPr>
          <w:sz w:val="22"/>
          <w:szCs w:val="22"/>
          <w:lang w:bidi="ar-SA"/>
        </w:rPr>
        <w:t xml:space="preserve">, were left to their ordinary </w:t>
      </w:r>
      <w:r>
        <w:rPr>
          <w:sz w:val="22"/>
          <w:szCs w:val="22"/>
          <w:lang w:bidi="ar-SA"/>
        </w:rPr>
        <w:t xml:space="preserve">and commonly understood </w:t>
      </w:r>
      <w:r w:rsidRPr="00D65582">
        <w:rPr>
          <w:sz w:val="22"/>
          <w:szCs w:val="22"/>
          <w:lang w:bidi="ar-SA"/>
        </w:rPr>
        <w:t xml:space="preserve">meanings. </w:t>
      </w:r>
      <w:r>
        <w:rPr>
          <w:sz w:val="22"/>
          <w:szCs w:val="22"/>
          <w:lang w:bidi="ar-SA"/>
        </w:rPr>
        <w:t xml:space="preserve">FSANZ’s assessment was that the </w:t>
      </w:r>
      <w:r w:rsidR="0024037E">
        <w:rPr>
          <w:sz w:val="22"/>
          <w:szCs w:val="22"/>
          <w:lang w:bidi="ar-SA"/>
        </w:rPr>
        <w:t xml:space="preserve">wording of the </w:t>
      </w:r>
      <w:r>
        <w:rPr>
          <w:bCs/>
          <w:color w:val="000000"/>
          <w:sz w:val="22"/>
          <w:szCs w:val="22"/>
          <w:lang w:bidi="ar-SA"/>
        </w:rPr>
        <w:t>amended definition</w:t>
      </w:r>
      <w:r w:rsidRPr="00D65582">
        <w:rPr>
          <w:sz w:val="22"/>
          <w:szCs w:val="22"/>
          <w:lang w:bidi="ar-SA"/>
        </w:rPr>
        <w:t xml:space="preserve"> </w:t>
      </w:r>
      <w:r w:rsidR="002E39CF">
        <w:rPr>
          <w:sz w:val="22"/>
          <w:szCs w:val="22"/>
          <w:lang w:bidi="ar-SA"/>
        </w:rPr>
        <w:t xml:space="preserve">in its entirety </w:t>
      </w:r>
      <w:r w:rsidR="00D72A1A" w:rsidRPr="00D65582">
        <w:rPr>
          <w:bCs/>
          <w:color w:val="000000"/>
          <w:sz w:val="22"/>
          <w:szCs w:val="22"/>
          <w:lang w:bidi="ar-SA"/>
        </w:rPr>
        <w:t>adequately captures the</w:t>
      </w:r>
      <w:r w:rsidR="00221389" w:rsidRPr="00D65582">
        <w:rPr>
          <w:bCs/>
          <w:color w:val="000000"/>
          <w:sz w:val="22"/>
          <w:szCs w:val="22"/>
          <w:lang w:bidi="ar-SA"/>
        </w:rPr>
        <w:t xml:space="preserve"> intended use. </w:t>
      </w:r>
    </w:p>
    <w:p w14:paraId="2CBBDB08" w14:textId="62E2385D" w:rsidR="00D65582" w:rsidRPr="0024037E" w:rsidRDefault="0024037E" w:rsidP="00FF5369">
      <w:pPr>
        <w:pStyle w:val="Heading4"/>
      </w:pPr>
      <w:r>
        <w:t>2.</w:t>
      </w:r>
      <w:r w:rsidR="00C76679">
        <w:t>4</w:t>
      </w:r>
      <w:r>
        <w:t>.2.</w:t>
      </w:r>
      <w:r w:rsidR="00C76679">
        <w:t>4</w:t>
      </w:r>
      <w:r>
        <w:tab/>
      </w:r>
      <w:r w:rsidR="00182945">
        <w:t>Final wording</w:t>
      </w:r>
    </w:p>
    <w:p w14:paraId="0902B2A2" w14:textId="77777777" w:rsidR="003B04F7" w:rsidRDefault="0024037E" w:rsidP="00221389">
      <w:pPr>
        <w:pStyle w:val="FSTableText"/>
        <w:widowControl/>
        <w:spacing w:before="120" w:after="120"/>
        <w:rPr>
          <w:bCs/>
          <w:color w:val="000000"/>
          <w:sz w:val="22"/>
          <w:szCs w:val="22"/>
          <w:lang w:bidi="ar-SA"/>
        </w:rPr>
      </w:pPr>
      <w:r>
        <w:rPr>
          <w:bCs/>
          <w:color w:val="000000"/>
          <w:sz w:val="22"/>
          <w:szCs w:val="22"/>
          <w:lang w:bidi="ar-SA"/>
        </w:rPr>
        <w:t xml:space="preserve">For the reasons outlined above, FSANZ approved a draft variation with the following definition: </w:t>
      </w:r>
    </w:p>
    <w:p w14:paraId="7B0A0A24" w14:textId="0034EC3F" w:rsidR="003B04F7" w:rsidRDefault="00CA716B" w:rsidP="003B04F7">
      <w:pPr>
        <w:pStyle w:val="FSTableText"/>
        <w:widowControl/>
        <w:spacing w:before="120" w:after="120"/>
        <w:ind w:left="567"/>
        <w:rPr>
          <w:bCs/>
          <w:color w:val="000000"/>
          <w:sz w:val="22"/>
          <w:szCs w:val="22"/>
          <w:lang w:bidi="ar-SA"/>
        </w:rPr>
      </w:pPr>
      <w:r w:rsidRPr="00D130F6">
        <w:rPr>
          <w:b/>
          <w:bCs/>
          <w:i/>
          <w:color w:val="000000"/>
          <w:sz w:val="22"/>
          <w:szCs w:val="22"/>
          <w:lang w:bidi="ar-SA"/>
        </w:rPr>
        <w:t>electrolyte drink</w:t>
      </w:r>
      <w:r w:rsidRPr="00CA716B">
        <w:rPr>
          <w:bCs/>
          <w:i/>
          <w:color w:val="000000"/>
          <w:sz w:val="22"/>
          <w:szCs w:val="22"/>
          <w:lang w:bidi="ar-SA"/>
        </w:rPr>
        <w:t xml:space="preserve"> means a drink formulated for the rapid replacement of fluid, carbohydrate and electrolytes during or after 60 minutes</w:t>
      </w:r>
      <w:r w:rsidR="003B04F7">
        <w:rPr>
          <w:bCs/>
          <w:i/>
          <w:color w:val="000000"/>
          <w:sz w:val="22"/>
          <w:szCs w:val="22"/>
          <w:lang w:bidi="ar-SA"/>
        </w:rPr>
        <w:t xml:space="preserve"> or more</w:t>
      </w:r>
      <w:r w:rsidRPr="00CA716B">
        <w:rPr>
          <w:bCs/>
          <w:i/>
          <w:color w:val="000000"/>
          <w:sz w:val="22"/>
          <w:szCs w:val="22"/>
          <w:lang w:bidi="ar-SA"/>
        </w:rPr>
        <w:t xml:space="preserve"> of sustained strenuous physical activity</w:t>
      </w:r>
      <w:r>
        <w:rPr>
          <w:bCs/>
          <w:color w:val="000000"/>
          <w:sz w:val="22"/>
          <w:szCs w:val="22"/>
          <w:lang w:bidi="ar-SA"/>
        </w:rPr>
        <w:t>.</w:t>
      </w:r>
    </w:p>
    <w:p w14:paraId="30DBBB71" w14:textId="11659003" w:rsidR="004F2CBD" w:rsidRPr="00FF5369" w:rsidRDefault="004F2CBD" w:rsidP="00FF5369">
      <w:pPr>
        <w:pStyle w:val="Heading3"/>
      </w:pPr>
      <w:bookmarkStart w:id="128" w:name="_Toc100829772"/>
      <w:bookmarkStart w:id="129" w:name="_Toc103090814"/>
      <w:bookmarkStart w:id="130" w:name="_Toc103197706"/>
      <w:r w:rsidRPr="00FF5369">
        <w:t>2.</w:t>
      </w:r>
      <w:r w:rsidR="00C76679" w:rsidRPr="00FF5369">
        <w:t>4</w:t>
      </w:r>
      <w:r w:rsidRPr="00FF5369">
        <w:t>.3</w:t>
      </w:r>
      <w:r w:rsidRPr="00FF5369">
        <w:tab/>
        <w:t>Composition</w:t>
      </w:r>
      <w:bookmarkEnd w:id="128"/>
      <w:bookmarkEnd w:id="129"/>
      <w:bookmarkEnd w:id="130"/>
    </w:p>
    <w:p w14:paraId="78B2B2A4" w14:textId="65D7C5EC" w:rsidR="004F2CBD" w:rsidRPr="00FF5369" w:rsidRDefault="004F2CBD" w:rsidP="00FF5369">
      <w:pPr>
        <w:pStyle w:val="Heading4"/>
        <w:rPr>
          <w:rFonts w:eastAsia="Calibri"/>
        </w:rPr>
      </w:pPr>
      <w:r w:rsidRPr="00FF5369">
        <w:rPr>
          <w:rFonts w:eastAsia="Calibri"/>
        </w:rPr>
        <w:t>2.</w:t>
      </w:r>
      <w:r w:rsidR="00C76679" w:rsidRPr="00FF5369">
        <w:rPr>
          <w:rFonts w:eastAsia="Calibri"/>
        </w:rPr>
        <w:t>4</w:t>
      </w:r>
      <w:r w:rsidRPr="00FF5369">
        <w:rPr>
          <w:rFonts w:eastAsia="Calibri"/>
        </w:rPr>
        <w:t>.3.1</w:t>
      </w:r>
      <w:r w:rsidRPr="00FF5369">
        <w:rPr>
          <w:rFonts w:eastAsia="Calibri"/>
        </w:rPr>
        <w:tab/>
        <w:t xml:space="preserve">Minimum </w:t>
      </w:r>
      <w:r w:rsidR="000735DD" w:rsidRPr="00FF5369">
        <w:rPr>
          <w:rFonts w:eastAsia="Calibri"/>
        </w:rPr>
        <w:t>carbohydrate</w:t>
      </w:r>
      <w:r w:rsidRPr="00FF5369">
        <w:rPr>
          <w:rFonts w:eastAsia="Calibri"/>
        </w:rPr>
        <w:t xml:space="preserve"> level</w:t>
      </w:r>
    </w:p>
    <w:p w14:paraId="4C3E8781" w14:textId="669E1D18" w:rsidR="00C666C3" w:rsidRPr="0034053B" w:rsidRDefault="00C666C3" w:rsidP="00C666C3">
      <w:pPr>
        <w:pStyle w:val="Heading4"/>
        <w:keepNext w:val="0"/>
        <w:widowControl/>
        <w:spacing w:before="120" w:after="120"/>
        <w:rPr>
          <w:b w:val="0"/>
          <w:lang w:eastAsia="en-AU"/>
        </w:rPr>
      </w:pPr>
      <w:r w:rsidRPr="0034053B">
        <w:rPr>
          <w:b w:val="0"/>
          <w:lang w:eastAsia="en-AU"/>
        </w:rPr>
        <w:t xml:space="preserve">Proposed approach </w:t>
      </w:r>
      <w:r>
        <w:rPr>
          <w:b w:val="0"/>
          <w:lang w:eastAsia="en-AU"/>
        </w:rPr>
        <w:t>in 2014</w:t>
      </w:r>
      <w:r w:rsidRPr="0034053B">
        <w:rPr>
          <w:b w:val="0"/>
          <w:lang w:eastAsia="en-AU"/>
        </w:rPr>
        <w:t xml:space="preserve"> </w:t>
      </w:r>
    </w:p>
    <w:p w14:paraId="3216CDCC" w14:textId="77777777" w:rsidR="003B04F7" w:rsidRPr="00D64B11" w:rsidRDefault="006457B5" w:rsidP="00D64B11">
      <w:pPr>
        <w:pStyle w:val="FSTableText"/>
        <w:widowControl/>
        <w:spacing w:before="120" w:after="120"/>
        <w:rPr>
          <w:bCs/>
          <w:color w:val="000000"/>
          <w:sz w:val="22"/>
          <w:szCs w:val="22"/>
          <w:lang w:bidi="ar-SA"/>
        </w:rPr>
      </w:pPr>
      <w:r w:rsidRPr="00D64B11">
        <w:rPr>
          <w:bCs/>
          <w:color w:val="000000"/>
          <w:sz w:val="22"/>
          <w:szCs w:val="22"/>
          <w:lang w:bidi="ar-SA"/>
        </w:rPr>
        <w:t xml:space="preserve">The 2014 proposal did not consider changing the minimum level of carbohydrate in electrolyte drinks. </w:t>
      </w:r>
    </w:p>
    <w:p w14:paraId="3EAB29B3" w14:textId="72C7480E" w:rsidR="007A5595" w:rsidRPr="00D64B11" w:rsidRDefault="006457B5" w:rsidP="00D64B11">
      <w:pPr>
        <w:pStyle w:val="FSTableText"/>
        <w:widowControl/>
        <w:spacing w:before="120" w:after="120"/>
        <w:rPr>
          <w:bCs/>
          <w:color w:val="000000"/>
          <w:sz w:val="22"/>
          <w:szCs w:val="22"/>
          <w:lang w:bidi="ar-SA"/>
        </w:rPr>
      </w:pPr>
      <w:r w:rsidRPr="00D64B11">
        <w:rPr>
          <w:bCs/>
          <w:color w:val="000000"/>
          <w:sz w:val="22"/>
          <w:szCs w:val="22"/>
          <w:lang w:bidi="ar-SA"/>
        </w:rPr>
        <w:t>One industry submitter in 2014 recommended a lower carbohydrate threshold to encompass hypotonic beverages. Jurisdictions also highlighted the importance of reviewing the current scientific literature to determine the optimal electrolyte drink composition</w:t>
      </w:r>
      <w:r w:rsidR="007A5595" w:rsidRPr="00D64B11">
        <w:rPr>
          <w:bCs/>
          <w:color w:val="000000"/>
          <w:sz w:val="22"/>
          <w:szCs w:val="22"/>
          <w:lang w:bidi="ar-SA"/>
        </w:rPr>
        <w:t>.</w:t>
      </w:r>
    </w:p>
    <w:p w14:paraId="2D3F84FB" w14:textId="77777777" w:rsidR="00C666C3" w:rsidRPr="0034053B" w:rsidRDefault="00C666C3" w:rsidP="00C666C3">
      <w:pPr>
        <w:pStyle w:val="Heading4"/>
        <w:keepNext w:val="0"/>
        <w:widowControl/>
        <w:spacing w:before="120" w:after="120"/>
        <w:rPr>
          <w:b w:val="0"/>
          <w:lang w:eastAsia="en-AU"/>
        </w:rPr>
      </w:pPr>
      <w:r w:rsidRPr="0034053B">
        <w:rPr>
          <w:b w:val="0"/>
          <w:lang w:eastAsia="en-AU"/>
        </w:rPr>
        <w:t xml:space="preserve">Proposed approach </w:t>
      </w:r>
      <w:r>
        <w:rPr>
          <w:b w:val="0"/>
          <w:lang w:eastAsia="en-AU"/>
        </w:rPr>
        <w:t xml:space="preserve">and amendments </w:t>
      </w:r>
      <w:r w:rsidRPr="0034053B">
        <w:rPr>
          <w:b w:val="0"/>
          <w:lang w:eastAsia="en-AU"/>
        </w:rPr>
        <w:t xml:space="preserve">in </w:t>
      </w:r>
      <w:r>
        <w:rPr>
          <w:b w:val="0"/>
          <w:lang w:eastAsia="en-AU"/>
        </w:rPr>
        <w:t>2021</w:t>
      </w:r>
      <w:r w:rsidRPr="0034053B">
        <w:rPr>
          <w:b w:val="0"/>
          <w:lang w:eastAsia="en-AU"/>
        </w:rPr>
        <w:t xml:space="preserve"> </w:t>
      </w:r>
    </w:p>
    <w:p w14:paraId="111D62CE" w14:textId="1DF4C913" w:rsidR="007A5595" w:rsidRPr="00D64B11" w:rsidRDefault="007A5595" w:rsidP="00D64B11">
      <w:pPr>
        <w:pStyle w:val="FSTableText"/>
        <w:widowControl/>
        <w:spacing w:before="120" w:after="120"/>
        <w:rPr>
          <w:bCs/>
          <w:color w:val="000000"/>
          <w:sz w:val="22"/>
          <w:szCs w:val="22"/>
          <w:lang w:bidi="ar-SA"/>
        </w:rPr>
      </w:pPr>
      <w:r w:rsidRPr="00D64B11">
        <w:rPr>
          <w:bCs/>
          <w:color w:val="000000"/>
          <w:sz w:val="22"/>
          <w:szCs w:val="22"/>
          <w:lang w:bidi="ar-SA"/>
        </w:rPr>
        <w:t xml:space="preserve">In </w:t>
      </w:r>
      <w:r w:rsidR="003B04F7" w:rsidRPr="00D64B11">
        <w:rPr>
          <w:bCs/>
          <w:color w:val="000000"/>
          <w:sz w:val="22"/>
          <w:szCs w:val="22"/>
          <w:lang w:bidi="ar-SA"/>
        </w:rPr>
        <w:t>the</w:t>
      </w:r>
      <w:r w:rsidRPr="00D64B11">
        <w:rPr>
          <w:bCs/>
          <w:color w:val="000000"/>
          <w:sz w:val="22"/>
          <w:szCs w:val="22"/>
          <w:lang w:bidi="ar-SA"/>
        </w:rPr>
        <w:t xml:space="preserve"> 2021</w:t>
      </w:r>
      <w:r w:rsidR="003B04F7" w:rsidRPr="00D64B11">
        <w:rPr>
          <w:bCs/>
          <w:color w:val="000000"/>
          <w:sz w:val="22"/>
          <w:szCs w:val="22"/>
          <w:lang w:bidi="ar-SA"/>
        </w:rPr>
        <w:t xml:space="preserve"> Consultation Paper</w:t>
      </w:r>
      <w:r w:rsidRPr="00D64B11">
        <w:rPr>
          <w:bCs/>
          <w:color w:val="000000"/>
          <w:sz w:val="22"/>
          <w:szCs w:val="22"/>
          <w:lang w:bidi="ar-SA"/>
        </w:rPr>
        <w:t>, FSANZ proposed amending the 2014 draft variation to reduce the minimum permitted carbohydrate for electrolyte drinks to 20 g/L while retaining the maximum carbohydrate at 100 g/L. Section 2.3.3.2 of the 2021 Consultation Paper lists FSANZ’s reasons for doing so.</w:t>
      </w:r>
    </w:p>
    <w:p w14:paraId="03CF522F" w14:textId="666DCF4D" w:rsidR="000577DE" w:rsidRPr="00D64B11" w:rsidRDefault="009F6930" w:rsidP="00D64B11">
      <w:pPr>
        <w:pStyle w:val="FSTableText"/>
        <w:widowControl/>
        <w:spacing w:before="120" w:after="120"/>
        <w:rPr>
          <w:bCs/>
          <w:color w:val="000000"/>
          <w:sz w:val="22"/>
          <w:szCs w:val="22"/>
          <w:lang w:bidi="ar-SA"/>
        </w:rPr>
      </w:pPr>
      <w:r w:rsidRPr="00D64B11">
        <w:rPr>
          <w:bCs/>
          <w:color w:val="000000"/>
          <w:sz w:val="22"/>
          <w:szCs w:val="22"/>
          <w:lang w:bidi="ar-SA"/>
        </w:rPr>
        <w:t xml:space="preserve">In general, stakeholders supported the </w:t>
      </w:r>
      <w:r w:rsidR="007A5595" w:rsidRPr="00D64B11">
        <w:rPr>
          <w:bCs/>
          <w:color w:val="000000"/>
          <w:sz w:val="22"/>
          <w:szCs w:val="22"/>
          <w:lang w:bidi="ar-SA"/>
        </w:rPr>
        <w:t xml:space="preserve">amendment </w:t>
      </w:r>
      <w:r w:rsidR="00E907D6" w:rsidRPr="00D64B11">
        <w:rPr>
          <w:bCs/>
          <w:color w:val="000000"/>
          <w:sz w:val="22"/>
          <w:szCs w:val="22"/>
          <w:lang w:bidi="ar-SA"/>
        </w:rPr>
        <w:t xml:space="preserve">to reduce the minimum carbohydrate. </w:t>
      </w:r>
      <w:r w:rsidRPr="00D64B11">
        <w:rPr>
          <w:bCs/>
          <w:color w:val="000000"/>
          <w:sz w:val="22"/>
          <w:szCs w:val="22"/>
          <w:lang w:bidi="ar-SA"/>
        </w:rPr>
        <w:t xml:space="preserve">Submissions received in response to the 2021 Consultation Paper </w:t>
      </w:r>
      <w:r w:rsidR="00E907D6" w:rsidRPr="00D64B11">
        <w:rPr>
          <w:bCs/>
          <w:color w:val="000000"/>
          <w:sz w:val="22"/>
          <w:szCs w:val="22"/>
          <w:lang w:bidi="ar-SA"/>
        </w:rPr>
        <w:t xml:space="preserve">noted this would both permit and encourage manufacturers to provide consumers with healthier electrolyte drink options. It also results in greater product capture of electrolyte drinks currently in the market whilst aligning with current carbohydrate intake guidelines during exercise. In addition, </w:t>
      </w:r>
      <w:r w:rsidR="00543C5E" w:rsidRPr="00D64B11">
        <w:rPr>
          <w:bCs/>
          <w:color w:val="000000"/>
          <w:sz w:val="22"/>
          <w:szCs w:val="22"/>
          <w:lang w:bidi="ar-SA"/>
        </w:rPr>
        <w:t xml:space="preserve">submitters considered </w:t>
      </w:r>
      <w:r w:rsidR="00E907D6" w:rsidRPr="00D64B11">
        <w:rPr>
          <w:bCs/>
          <w:color w:val="000000"/>
          <w:sz w:val="22"/>
          <w:szCs w:val="22"/>
          <w:lang w:bidi="ar-SA"/>
        </w:rPr>
        <w:t xml:space="preserve">the variation </w:t>
      </w:r>
      <w:r w:rsidR="00543C5E" w:rsidRPr="00D64B11">
        <w:rPr>
          <w:bCs/>
          <w:color w:val="000000"/>
          <w:sz w:val="22"/>
          <w:szCs w:val="22"/>
          <w:lang w:bidi="ar-SA"/>
        </w:rPr>
        <w:t>would reduce the sugar content of electrolyte drinks, therefore</w:t>
      </w:r>
      <w:r w:rsidR="00E907D6" w:rsidRPr="00D64B11">
        <w:rPr>
          <w:bCs/>
          <w:color w:val="000000"/>
          <w:sz w:val="22"/>
          <w:szCs w:val="22"/>
          <w:lang w:bidi="ar-SA"/>
        </w:rPr>
        <w:t xml:space="preserve"> contributing to a reduced sugar intake, for those consumers who opt for the lower carbohydrate product. </w:t>
      </w:r>
    </w:p>
    <w:p w14:paraId="40454A3F" w14:textId="40D2E555" w:rsidR="0078598B" w:rsidRPr="00D64B11" w:rsidRDefault="00E907D6" w:rsidP="00D64B11">
      <w:pPr>
        <w:pStyle w:val="FSTableText"/>
        <w:widowControl/>
        <w:spacing w:before="120" w:after="120"/>
        <w:rPr>
          <w:bCs/>
          <w:color w:val="000000"/>
          <w:sz w:val="22"/>
          <w:szCs w:val="22"/>
          <w:lang w:bidi="ar-SA"/>
        </w:rPr>
      </w:pPr>
      <w:r w:rsidRPr="00D64B11">
        <w:rPr>
          <w:bCs/>
          <w:color w:val="000000"/>
          <w:sz w:val="22"/>
          <w:szCs w:val="22"/>
          <w:lang w:bidi="ar-SA"/>
        </w:rPr>
        <w:t xml:space="preserve">Several submitters suggested a more comprehensive review to encompass the various types </w:t>
      </w:r>
      <w:r w:rsidR="00B56081" w:rsidRPr="00D64B11">
        <w:rPr>
          <w:bCs/>
          <w:color w:val="000000"/>
          <w:sz w:val="22"/>
          <w:szCs w:val="22"/>
          <w:lang w:bidi="ar-SA"/>
        </w:rPr>
        <w:t xml:space="preserve">of carbohydrate with others recommending an expansion of the </w:t>
      </w:r>
      <w:r w:rsidR="009A5B94" w:rsidRPr="00D64B11">
        <w:rPr>
          <w:bCs/>
          <w:color w:val="000000"/>
          <w:sz w:val="22"/>
          <w:szCs w:val="22"/>
          <w:lang w:bidi="ar-SA"/>
        </w:rPr>
        <w:t xml:space="preserve">minimum and maximum </w:t>
      </w:r>
      <w:r w:rsidR="00B56081" w:rsidRPr="00D64B11">
        <w:rPr>
          <w:bCs/>
          <w:color w:val="000000"/>
          <w:sz w:val="22"/>
          <w:szCs w:val="22"/>
          <w:lang w:bidi="ar-SA"/>
        </w:rPr>
        <w:t>concentrations (≤2 to ≥10%)</w:t>
      </w:r>
      <w:r w:rsidRPr="00D64B11">
        <w:rPr>
          <w:bCs/>
          <w:color w:val="000000"/>
          <w:sz w:val="22"/>
          <w:szCs w:val="22"/>
          <w:lang w:bidi="ar-SA"/>
        </w:rPr>
        <w:t xml:space="preserve">. FSANZ notes that these elements were beyond the scope of </w:t>
      </w:r>
      <w:r w:rsidR="00221389" w:rsidRPr="00D64B11">
        <w:rPr>
          <w:bCs/>
          <w:color w:val="000000"/>
          <w:sz w:val="22"/>
          <w:szCs w:val="22"/>
          <w:lang w:bidi="ar-SA"/>
        </w:rPr>
        <w:t>this P</w:t>
      </w:r>
      <w:r w:rsidRPr="00D64B11">
        <w:rPr>
          <w:bCs/>
          <w:color w:val="000000"/>
          <w:sz w:val="22"/>
          <w:szCs w:val="22"/>
          <w:lang w:bidi="ar-SA"/>
        </w:rPr>
        <w:t xml:space="preserve">roposal. </w:t>
      </w:r>
    </w:p>
    <w:p w14:paraId="3F93D3B6" w14:textId="77777777" w:rsidR="00C666C3" w:rsidRPr="00C666C3" w:rsidRDefault="00C666C3" w:rsidP="00D64B11">
      <w:pPr>
        <w:widowControl/>
        <w:spacing w:before="120" w:after="120"/>
        <w:rPr>
          <w:i/>
        </w:rPr>
      </w:pPr>
      <w:r w:rsidRPr="00C666C3">
        <w:rPr>
          <w:i/>
        </w:rPr>
        <w:t>FSANZ’s decision</w:t>
      </w:r>
    </w:p>
    <w:p w14:paraId="275A0F43" w14:textId="4EE950A2" w:rsidR="007A5595" w:rsidRPr="00D64B11" w:rsidRDefault="007A5595" w:rsidP="00D64B11">
      <w:pPr>
        <w:pStyle w:val="FSTableText"/>
        <w:widowControl/>
        <w:spacing w:after="120"/>
        <w:rPr>
          <w:bCs/>
          <w:color w:val="000000"/>
          <w:sz w:val="22"/>
          <w:szCs w:val="22"/>
          <w:lang w:bidi="ar-SA"/>
        </w:rPr>
      </w:pPr>
      <w:r w:rsidRPr="00D64B11">
        <w:rPr>
          <w:bCs/>
          <w:color w:val="000000"/>
          <w:sz w:val="22"/>
          <w:szCs w:val="22"/>
          <w:lang w:bidi="ar-SA"/>
        </w:rPr>
        <w:t>FSANZ decided to proceed with this amendment.</w:t>
      </w:r>
      <w:r w:rsidR="00543C5E" w:rsidRPr="00D64B11">
        <w:rPr>
          <w:bCs/>
          <w:color w:val="000000"/>
          <w:sz w:val="22"/>
          <w:szCs w:val="22"/>
          <w:lang w:bidi="ar-SA"/>
        </w:rPr>
        <w:t xml:space="preserve"> This approach is consistent with the risk assessment conclusion</w:t>
      </w:r>
      <w:r w:rsidR="00D27E07" w:rsidRPr="00D64B11">
        <w:rPr>
          <w:bCs/>
          <w:color w:val="000000"/>
          <w:sz w:val="22"/>
          <w:szCs w:val="22"/>
          <w:lang w:bidi="ar-SA"/>
        </w:rPr>
        <w:t xml:space="preserve"> that no clear difference exists between electrolyte drinks with 20</w:t>
      </w:r>
      <w:r w:rsidR="00D130F6" w:rsidRPr="00D64B11">
        <w:rPr>
          <w:bCs/>
          <w:color w:val="000000"/>
          <w:sz w:val="22"/>
          <w:szCs w:val="22"/>
          <w:lang w:bidi="ar-SA"/>
        </w:rPr>
        <w:t xml:space="preserve"> </w:t>
      </w:r>
      <w:r w:rsidR="00D27E07" w:rsidRPr="00D64B11">
        <w:rPr>
          <w:bCs/>
          <w:color w:val="000000"/>
          <w:sz w:val="22"/>
          <w:szCs w:val="22"/>
          <w:lang w:bidi="ar-SA"/>
        </w:rPr>
        <w:t>-</w:t>
      </w:r>
      <w:r w:rsidR="00D130F6" w:rsidRPr="00D64B11">
        <w:rPr>
          <w:bCs/>
          <w:color w:val="000000"/>
          <w:sz w:val="22"/>
          <w:szCs w:val="22"/>
          <w:lang w:bidi="ar-SA"/>
        </w:rPr>
        <w:t xml:space="preserve"> </w:t>
      </w:r>
      <w:r w:rsidR="00D27E07" w:rsidRPr="00D64B11">
        <w:rPr>
          <w:bCs/>
          <w:color w:val="000000"/>
          <w:sz w:val="22"/>
          <w:szCs w:val="22"/>
          <w:lang w:bidi="ar-SA"/>
        </w:rPr>
        <w:t xml:space="preserve">50 g/L carbohydrate compared with 50 </w:t>
      </w:r>
      <w:r w:rsidR="00D130F6" w:rsidRPr="00D64B11">
        <w:rPr>
          <w:bCs/>
          <w:color w:val="000000"/>
          <w:sz w:val="22"/>
          <w:szCs w:val="22"/>
          <w:lang w:bidi="ar-SA"/>
        </w:rPr>
        <w:t xml:space="preserve">- </w:t>
      </w:r>
      <w:r w:rsidR="00D27E07" w:rsidRPr="00D64B11">
        <w:rPr>
          <w:bCs/>
          <w:color w:val="000000"/>
          <w:sz w:val="22"/>
          <w:szCs w:val="22"/>
          <w:lang w:bidi="ar-SA"/>
        </w:rPr>
        <w:t>100 g/L carbohydrate in relation to rehydration or exercise performance when consumed during or after sustained exercise</w:t>
      </w:r>
      <w:r w:rsidR="00543C5E" w:rsidRPr="00D64B11">
        <w:rPr>
          <w:bCs/>
          <w:color w:val="000000"/>
          <w:sz w:val="22"/>
          <w:szCs w:val="22"/>
          <w:lang w:bidi="ar-SA"/>
        </w:rPr>
        <w:t xml:space="preserve"> (Section 2.</w:t>
      </w:r>
      <w:r w:rsidR="00D130F6" w:rsidRPr="00D64B11">
        <w:rPr>
          <w:bCs/>
          <w:color w:val="000000"/>
          <w:sz w:val="22"/>
          <w:szCs w:val="22"/>
          <w:lang w:bidi="ar-SA"/>
        </w:rPr>
        <w:t>3</w:t>
      </w:r>
      <w:r w:rsidR="00543C5E" w:rsidRPr="00D64B11">
        <w:rPr>
          <w:bCs/>
          <w:color w:val="000000"/>
          <w:sz w:val="22"/>
          <w:szCs w:val="22"/>
          <w:lang w:bidi="ar-SA"/>
        </w:rPr>
        <w:t xml:space="preserve"> and SD1). In addition, the variation </w:t>
      </w:r>
      <w:r w:rsidR="00D27E07" w:rsidRPr="00D64B11">
        <w:rPr>
          <w:bCs/>
          <w:color w:val="000000"/>
          <w:sz w:val="22"/>
          <w:szCs w:val="22"/>
          <w:lang w:bidi="ar-SA"/>
        </w:rPr>
        <w:t>is supported by</w:t>
      </w:r>
      <w:r w:rsidR="00543C5E" w:rsidRPr="00D64B11">
        <w:rPr>
          <w:bCs/>
          <w:color w:val="000000"/>
          <w:sz w:val="22"/>
          <w:szCs w:val="22"/>
          <w:lang w:bidi="ar-SA"/>
        </w:rPr>
        <w:t xml:space="preserve"> dietary guidelines in Australia and New </w:t>
      </w:r>
      <w:r w:rsidR="00543C5E" w:rsidRPr="00D64B11">
        <w:rPr>
          <w:bCs/>
          <w:color w:val="000000"/>
          <w:sz w:val="22"/>
          <w:szCs w:val="22"/>
          <w:lang w:bidi="ar-SA"/>
        </w:rPr>
        <w:lastRenderedPageBreak/>
        <w:t>Zealand that recommend limiting intake of foods containing added sugars</w:t>
      </w:r>
      <w:r w:rsidR="00D27E07" w:rsidRPr="00D64B11">
        <w:rPr>
          <w:bCs/>
          <w:color w:val="000000"/>
          <w:sz w:val="22"/>
          <w:szCs w:val="22"/>
          <w:lang w:bidi="ar-SA"/>
        </w:rPr>
        <w:t xml:space="preserve"> and reflects current </w:t>
      </w:r>
      <w:r w:rsidR="008C4A6C" w:rsidRPr="00D64B11">
        <w:rPr>
          <w:bCs/>
          <w:color w:val="000000"/>
          <w:sz w:val="22"/>
          <w:szCs w:val="22"/>
          <w:lang w:bidi="ar-SA"/>
        </w:rPr>
        <w:t>initiatives</w:t>
      </w:r>
      <w:r w:rsidR="00D27E07" w:rsidRPr="00D64B11">
        <w:rPr>
          <w:bCs/>
          <w:color w:val="000000"/>
          <w:sz w:val="22"/>
          <w:szCs w:val="22"/>
          <w:lang w:bidi="ar-SA"/>
        </w:rPr>
        <w:t xml:space="preserve"> to reduce the sugar content </w:t>
      </w:r>
      <w:r w:rsidR="00254971" w:rsidRPr="00D64B11">
        <w:rPr>
          <w:bCs/>
          <w:color w:val="000000"/>
          <w:sz w:val="22"/>
          <w:szCs w:val="22"/>
          <w:lang w:bidi="ar-SA"/>
        </w:rPr>
        <w:t>of sugar sweetened beverages</w:t>
      </w:r>
      <w:r w:rsidR="00543C5E" w:rsidRPr="00D64B11">
        <w:rPr>
          <w:bCs/>
          <w:color w:val="000000"/>
          <w:sz w:val="22"/>
          <w:szCs w:val="22"/>
          <w:lang w:bidi="ar-SA"/>
        </w:rPr>
        <w:t>.</w:t>
      </w:r>
    </w:p>
    <w:p w14:paraId="0BC54E8C" w14:textId="52A9BFFC" w:rsidR="004F2CBD" w:rsidRPr="00FF5369" w:rsidRDefault="00C76679" w:rsidP="00FF5369">
      <w:pPr>
        <w:pStyle w:val="Heading4"/>
        <w:rPr>
          <w:rFonts w:eastAsia="Calibri"/>
        </w:rPr>
      </w:pPr>
      <w:r w:rsidRPr="00FF5369">
        <w:rPr>
          <w:rFonts w:eastAsia="Calibri"/>
        </w:rPr>
        <w:t>2.4</w:t>
      </w:r>
      <w:r w:rsidR="004F2CBD" w:rsidRPr="00FF5369">
        <w:rPr>
          <w:rFonts w:eastAsia="Calibri"/>
        </w:rPr>
        <w:t>.3.2</w:t>
      </w:r>
      <w:r w:rsidR="004F2CBD" w:rsidRPr="00FF5369">
        <w:rPr>
          <w:rFonts w:eastAsia="Calibri"/>
        </w:rPr>
        <w:tab/>
        <w:t>Maximum fructose level</w:t>
      </w:r>
    </w:p>
    <w:p w14:paraId="2166FFC9" w14:textId="77777777" w:rsidR="00C666C3" w:rsidRPr="0034053B" w:rsidRDefault="00C666C3" w:rsidP="00C666C3">
      <w:pPr>
        <w:pStyle w:val="Heading4"/>
        <w:keepNext w:val="0"/>
        <w:widowControl/>
        <w:spacing w:before="120" w:after="120"/>
        <w:rPr>
          <w:b w:val="0"/>
          <w:lang w:eastAsia="en-AU"/>
        </w:rPr>
      </w:pPr>
      <w:r w:rsidRPr="0034053B">
        <w:rPr>
          <w:b w:val="0"/>
          <w:lang w:eastAsia="en-AU"/>
        </w:rPr>
        <w:t xml:space="preserve">Proposed approach </w:t>
      </w:r>
      <w:r>
        <w:rPr>
          <w:b w:val="0"/>
          <w:lang w:eastAsia="en-AU"/>
        </w:rPr>
        <w:t xml:space="preserve">and amendments </w:t>
      </w:r>
      <w:r w:rsidRPr="0034053B">
        <w:rPr>
          <w:b w:val="0"/>
          <w:lang w:eastAsia="en-AU"/>
        </w:rPr>
        <w:t xml:space="preserve">in </w:t>
      </w:r>
      <w:r>
        <w:rPr>
          <w:b w:val="0"/>
          <w:lang w:eastAsia="en-AU"/>
        </w:rPr>
        <w:t>2021</w:t>
      </w:r>
      <w:r w:rsidRPr="0034053B">
        <w:rPr>
          <w:b w:val="0"/>
          <w:lang w:eastAsia="en-AU"/>
        </w:rPr>
        <w:t xml:space="preserve"> </w:t>
      </w:r>
    </w:p>
    <w:p w14:paraId="3216655B" w14:textId="102F0506" w:rsidR="008A0DFC" w:rsidRPr="00D64B11" w:rsidRDefault="004F2CBD" w:rsidP="00D64B11">
      <w:pPr>
        <w:pStyle w:val="FSTableText"/>
        <w:widowControl/>
        <w:spacing w:before="120" w:after="120"/>
        <w:rPr>
          <w:bCs/>
          <w:color w:val="000000"/>
          <w:sz w:val="22"/>
          <w:szCs w:val="22"/>
          <w:lang w:bidi="ar-SA"/>
        </w:rPr>
      </w:pPr>
      <w:r w:rsidRPr="00D64B11">
        <w:rPr>
          <w:bCs/>
          <w:color w:val="000000"/>
          <w:sz w:val="22"/>
          <w:szCs w:val="22"/>
          <w:lang w:bidi="ar-SA"/>
        </w:rPr>
        <w:t xml:space="preserve">In conjunction with lowering the minimum permitted carbohydrate amount to 20 g/L, FSANZ also proposed in the 2021 </w:t>
      </w:r>
      <w:r w:rsidR="00D906AD" w:rsidRPr="00D64B11">
        <w:rPr>
          <w:bCs/>
          <w:color w:val="000000"/>
          <w:sz w:val="22"/>
          <w:szCs w:val="22"/>
          <w:lang w:bidi="ar-SA"/>
        </w:rPr>
        <w:t>Consultation Paper</w:t>
      </w:r>
      <w:r w:rsidRPr="00D64B11">
        <w:rPr>
          <w:bCs/>
          <w:color w:val="000000"/>
          <w:sz w:val="22"/>
          <w:szCs w:val="22"/>
          <w:lang w:bidi="ar-SA"/>
        </w:rPr>
        <w:t xml:space="preserve"> that </w:t>
      </w:r>
      <w:r w:rsidR="007A5595" w:rsidRPr="00D64B11">
        <w:rPr>
          <w:bCs/>
          <w:color w:val="000000"/>
          <w:sz w:val="22"/>
          <w:szCs w:val="22"/>
          <w:lang w:bidi="ar-SA"/>
        </w:rPr>
        <w:t xml:space="preserve">the draft variation be amended to reduce </w:t>
      </w:r>
      <w:r w:rsidRPr="00D64B11">
        <w:rPr>
          <w:bCs/>
          <w:color w:val="000000"/>
          <w:sz w:val="22"/>
          <w:szCs w:val="22"/>
          <w:lang w:bidi="ar-SA"/>
        </w:rPr>
        <w:t xml:space="preserve">the current maximum fructose amount </w:t>
      </w:r>
      <w:r w:rsidR="007A5595" w:rsidRPr="00D64B11">
        <w:rPr>
          <w:bCs/>
          <w:color w:val="000000"/>
          <w:sz w:val="22"/>
          <w:szCs w:val="22"/>
          <w:lang w:bidi="ar-SA"/>
        </w:rPr>
        <w:t xml:space="preserve">from </w:t>
      </w:r>
      <w:r w:rsidRPr="00D64B11">
        <w:rPr>
          <w:bCs/>
          <w:color w:val="000000"/>
          <w:sz w:val="22"/>
          <w:szCs w:val="22"/>
          <w:lang w:bidi="ar-SA"/>
        </w:rPr>
        <w:t>50 g/L</w:t>
      </w:r>
      <w:r w:rsidRPr="00D64B11" w:rsidDel="007A5595">
        <w:rPr>
          <w:bCs/>
          <w:color w:val="000000"/>
          <w:sz w:val="22"/>
          <w:szCs w:val="22"/>
          <w:lang w:bidi="ar-SA"/>
        </w:rPr>
        <w:t xml:space="preserve"> </w:t>
      </w:r>
      <w:r w:rsidRPr="00D64B11">
        <w:rPr>
          <w:bCs/>
          <w:color w:val="000000"/>
          <w:sz w:val="22"/>
          <w:szCs w:val="22"/>
          <w:lang w:bidi="ar-SA"/>
        </w:rPr>
        <w:t xml:space="preserve">to 20 g/L. </w:t>
      </w:r>
    </w:p>
    <w:p w14:paraId="37287BB3" w14:textId="400526B0" w:rsidR="008A0DFC" w:rsidRPr="00D64B11" w:rsidRDefault="007A5595" w:rsidP="00D64B11">
      <w:pPr>
        <w:pStyle w:val="FSTableText"/>
        <w:widowControl/>
        <w:spacing w:before="120" w:after="120"/>
        <w:rPr>
          <w:bCs/>
          <w:color w:val="000000"/>
          <w:sz w:val="22"/>
          <w:szCs w:val="22"/>
          <w:lang w:bidi="ar-SA"/>
        </w:rPr>
      </w:pPr>
      <w:r w:rsidRPr="00D64B11">
        <w:rPr>
          <w:bCs/>
          <w:color w:val="000000"/>
          <w:sz w:val="22"/>
          <w:szCs w:val="22"/>
          <w:lang w:bidi="ar-SA"/>
        </w:rPr>
        <w:t xml:space="preserve">Industry submitters opposed the </w:t>
      </w:r>
      <w:r w:rsidR="008A0DFC" w:rsidRPr="00D64B11">
        <w:rPr>
          <w:bCs/>
          <w:color w:val="000000"/>
          <w:sz w:val="22"/>
          <w:szCs w:val="22"/>
          <w:lang w:bidi="ar-SA"/>
        </w:rPr>
        <w:t>amendment (see Table 1 above).</w:t>
      </w:r>
    </w:p>
    <w:p w14:paraId="7AB938D1" w14:textId="77777777" w:rsidR="00C666C3" w:rsidRPr="00D64B11" w:rsidRDefault="00C666C3" w:rsidP="00D64B11">
      <w:pPr>
        <w:widowControl/>
        <w:spacing w:before="120" w:after="120"/>
        <w:rPr>
          <w:i/>
        </w:rPr>
      </w:pPr>
      <w:r w:rsidRPr="00D64B11">
        <w:rPr>
          <w:i/>
        </w:rPr>
        <w:t>FSANZ’s decision</w:t>
      </w:r>
    </w:p>
    <w:p w14:paraId="7AB50FA7" w14:textId="186ADBD0" w:rsidR="0078598B" w:rsidRPr="00D64B11" w:rsidRDefault="008A0DFC" w:rsidP="00D64B11">
      <w:pPr>
        <w:pStyle w:val="FSTableText"/>
        <w:widowControl/>
        <w:spacing w:after="120"/>
        <w:rPr>
          <w:bCs/>
          <w:color w:val="000000"/>
          <w:sz w:val="22"/>
          <w:szCs w:val="22"/>
          <w:lang w:bidi="ar-SA"/>
        </w:rPr>
      </w:pPr>
      <w:r w:rsidRPr="00D64B11">
        <w:rPr>
          <w:bCs/>
          <w:color w:val="000000"/>
          <w:sz w:val="22"/>
          <w:szCs w:val="22"/>
          <w:lang w:bidi="ar-SA"/>
        </w:rPr>
        <w:t>After consideration of submissions</w:t>
      </w:r>
      <w:r w:rsidR="004F2CBD" w:rsidRPr="00D64B11">
        <w:rPr>
          <w:bCs/>
          <w:color w:val="000000"/>
          <w:sz w:val="22"/>
          <w:szCs w:val="22"/>
          <w:lang w:bidi="ar-SA"/>
        </w:rPr>
        <w:t>, FSANZ opted to amend the maximum fructose threshold and set it relative to the amount of total carbohydrate (i.e. no more than 50%</w:t>
      </w:r>
      <w:r w:rsidR="00542E7B" w:rsidRPr="00D64B11">
        <w:rPr>
          <w:bCs/>
          <w:color w:val="000000"/>
          <w:sz w:val="22"/>
          <w:szCs w:val="22"/>
          <w:lang w:bidi="ar-SA"/>
        </w:rPr>
        <w:t xml:space="preserve"> of total carbohydrate</w:t>
      </w:r>
      <w:r w:rsidR="004F2CBD" w:rsidRPr="00D64B11">
        <w:rPr>
          <w:bCs/>
          <w:color w:val="000000"/>
          <w:sz w:val="22"/>
          <w:szCs w:val="22"/>
          <w:lang w:bidi="ar-SA"/>
        </w:rPr>
        <w:t>). This</w:t>
      </w:r>
      <w:r w:rsidR="004F2CBD" w:rsidRPr="00D64B11" w:rsidDel="008A0DFC">
        <w:rPr>
          <w:bCs/>
          <w:color w:val="000000"/>
          <w:sz w:val="22"/>
          <w:szCs w:val="22"/>
          <w:lang w:bidi="ar-SA"/>
        </w:rPr>
        <w:t xml:space="preserve"> </w:t>
      </w:r>
      <w:r w:rsidR="004F2CBD" w:rsidRPr="00D64B11">
        <w:rPr>
          <w:bCs/>
          <w:color w:val="000000"/>
          <w:sz w:val="22"/>
          <w:szCs w:val="22"/>
          <w:lang w:bidi="ar-SA"/>
        </w:rPr>
        <w:t xml:space="preserve">will ensure consistency between the permitted total </w:t>
      </w:r>
      <w:r w:rsidR="00D906AD" w:rsidRPr="00D64B11">
        <w:rPr>
          <w:bCs/>
          <w:color w:val="000000"/>
          <w:sz w:val="22"/>
          <w:szCs w:val="22"/>
          <w:lang w:bidi="ar-SA"/>
        </w:rPr>
        <w:t>carbohydrate</w:t>
      </w:r>
      <w:r w:rsidR="004F2CBD" w:rsidRPr="00D64B11">
        <w:rPr>
          <w:bCs/>
          <w:color w:val="000000"/>
          <w:sz w:val="22"/>
          <w:szCs w:val="22"/>
          <w:lang w:bidi="ar-SA"/>
        </w:rPr>
        <w:t xml:space="preserve"> and fructose amounts, whilst reflecting the scientific evidence of both </w:t>
      </w:r>
      <w:r w:rsidR="00D906AD" w:rsidRPr="00D64B11">
        <w:rPr>
          <w:bCs/>
          <w:color w:val="000000"/>
          <w:sz w:val="22"/>
          <w:szCs w:val="22"/>
          <w:lang w:bidi="ar-SA"/>
        </w:rPr>
        <w:t>carbohydrate</w:t>
      </w:r>
      <w:r w:rsidR="004F2CBD" w:rsidRPr="00D64B11">
        <w:rPr>
          <w:bCs/>
          <w:color w:val="000000"/>
          <w:sz w:val="22"/>
          <w:szCs w:val="22"/>
          <w:lang w:bidi="ar-SA"/>
        </w:rPr>
        <w:t xml:space="preserve"> utilisation during sustained physical activity, and the negative effects of high fructose ingestion on gastrointestinal tolerance during physical activity. </w:t>
      </w:r>
      <w:r w:rsidRPr="00D64B11">
        <w:rPr>
          <w:bCs/>
          <w:color w:val="000000"/>
          <w:sz w:val="22"/>
          <w:szCs w:val="22"/>
          <w:lang w:bidi="ar-SA"/>
        </w:rPr>
        <w:t>See also FSANZ’s response in Table 1 above.</w:t>
      </w:r>
    </w:p>
    <w:p w14:paraId="5D23C185" w14:textId="55DE7F04" w:rsidR="004F2CBD" w:rsidRDefault="002F7A42" w:rsidP="00402D76">
      <w:pPr>
        <w:pStyle w:val="Heading4"/>
        <w:rPr>
          <w:rFonts w:eastAsia="Calibri"/>
        </w:rPr>
      </w:pPr>
      <w:r w:rsidRPr="002F7A42">
        <w:rPr>
          <w:rFonts w:eastAsia="Calibri"/>
        </w:rPr>
        <w:t>2.</w:t>
      </w:r>
      <w:r w:rsidR="00C76679">
        <w:rPr>
          <w:rFonts w:eastAsia="Calibri"/>
        </w:rPr>
        <w:t>4</w:t>
      </w:r>
      <w:r w:rsidRPr="002F7A42">
        <w:rPr>
          <w:rFonts w:eastAsia="Calibri"/>
        </w:rPr>
        <w:t>.</w:t>
      </w:r>
      <w:r w:rsidR="00FF5369">
        <w:rPr>
          <w:rFonts w:eastAsia="Calibri"/>
        </w:rPr>
        <w:t>3.</w:t>
      </w:r>
      <w:r w:rsidR="00E65863">
        <w:rPr>
          <w:rFonts w:eastAsia="Calibri"/>
        </w:rPr>
        <w:t>3</w:t>
      </w:r>
      <w:r>
        <w:rPr>
          <w:rFonts w:eastAsia="Calibri"/>
        </w:rPr>
        <w:tab/>
        <w:t>Food additives</w:t>
      </w:r>
    </w:p>
    <w:p w14:paraId="0CBE3D11" w14:textId="02D08F37" w:rsidR="00185B94" w:rsidRDefault="0093603C" w:rsidP="002F7A42">
      <w:r>
        <w:rPr>
          <w:lang w:bidi="ar-SA"/>
        </w:rPr>
        <w:t xml:space="preserve">As noted in the 2021 Consultation Paper, the </w:t>
      </w:r>
      <w:r>
        <w:t>proposed reduction in the amount of carbohydrate</w:t>
      </w:r>
      <w:r w:rsidR="00185B94">
        <w:t xml:space="preserve"> may result in </w:t>
      </w:r>
      <w:r>
        <w:t>intense sweeteners be</w:t>
      </w:r>
      <w:r w:rsidR="00185B94">
        <w:t>ing</w:t>
      </w:r>
      <w:r>
        <w:t xml:space="preserve"> more commonly used to </w:t>
      </w:r>
      <w:r w:rsidR="00185B94">
        <w:t>enhance</w:t>
      </w:r>
      <w:r>
        <w:t xml:space="preserve"> the sweetness of electrolyte drinks. Permissions for intense sweeteners for water-based flavoured drinks and electrolyte drinks are listed in item 14.1.3 of the table to section S15—5 and all such permissions have maximum limits.</w:t>
      </w:r>
      <w:r w:rsidRPr="00211ECE">
        <w:t xml:space="preserve"> </w:t>
      </w:r>
      <w:r>
        <w:t>L</w:t>
      </w:r>
      <w:r w:rsidRPr="000C30C7">
        <w:t>imitation</w:t>
      </w:r>
      <w:r>
        <w:t>s</w:t>
      </w:r>
      <w:r w:rsidRPr="000C30C7">
        <w:t xml:space="preserve"> on </w:t>
      </w:r>
      <w:r>
        <w:t xml:space="preserve">the </w:t>
      </w:r>
      <w:r w:rsidRPr="000C30C7">
        <w:t>use of intense sweeteners</w:t>
      </w:r>
      <w:r w:rsidRPr="0083178D">
        <w:t xml:space="preserve"> </w:t>
      </w:r>
      <w:r>
        <w:t xml:space="preserve">are outlined </w:t>
      </w:r>
      <w:r w:rsidR="008F17CC">
        <w:t xml:space="preserve">in </w:t>
      </w:r>
      <w:r w:rsidRPr="0083178D">
        <w:t>Standard 1.3.1</w:t>
      </w:r>
      <w:r>
        <w:t xml:space="preserve"> (subsection 1.3.1</w:t>
      </w:r>
      <w:r w:rsidRPr="0083178D">
        <w:t>—5</w:t>
      </w:r>
      <w:r>
        <w:t xml:space="preserve">), which states </w:t>
      </w:r>
      <w:r w:rsidRPr="0083178D">
        <w:t>a substance that may be used as a food additive to perform the technological purpose of an intense sweete</w:t>
      </w:r>
      <w:r>
        <w:t xml:space="preserve">ner, may be added to a food only: </w:t>
      </w:r>
      <w:r w:rsidRPr="0083178D">
        <w:t xml:space="preserve">as </w:t>
      </w:r>
      <w:r>
        <w:t xml:space="preserve">a flavour enhancer or </w:t>
      </w:r>
      <w:r w:rsidRPr="0083178D">
        <w:t xml:space="preserve">in an amount necessary to replace, either wholly or partially, the sweetness normally provided by sugars. </w:t>
      </w:r>
    </w:p>
    <w:p w14:paraId="7E81A1DB" w14:textId="6CB42E75" w:rsidR="00185B94" w:rsidRDefault="00185B94" w:rsidP="00402D76">
      <w:pPr>
        <w:pStyle w:val="Heading4"/>
        <w:rPr>
          <w:rFonts w:eastAsia="Calibri"/>
        </w:rPr>
      </w:pPr>
      <w:r w:rsidRPr="00185B94">
        <w:rPr>
          <w:rFonts w:eastAsia="Calibri"/>
        </w:rPr>
        <w:t>2.</w:t>
      </w:r>
      <w:r w:rsidR="00C76679">
        <w:rPr>
          <w:rFonts w:eastAsia="Calibri"/>
        </w:rPr>
        <w:t>4</w:t>
      </w:r>
      <w:r w:rsidRPr="00185B94">
        <w:rPr>
          <w:rFonts w:eastAsia="Calibri"/>
        </w:rPr>
        <w:t>.</w:t>
      </w:r>
      <w:r w:rsidR="00FF5369">
        <w:rPr>
          <w:rFonts w:eastAsia="Calibri"/>
        </w:rPr>
        <w:t>3.</w:t>
      </w:r>
      <w:r w:rsidR="00E65863">
        <w:rPr>
          <w:rFonts w:eastAsia="Calibri"/>
        </w:rPr>
        <w:t>4</w:t>
      </w:r>
      <w:r w:rsidRPr="00185B94">
        <w:rPr>
          <w:rFonts w:eastAsia="Calibri"/>
        </w:rPr>
        <w:t xml:space="preserve"> </w:t>
      </w:r>
      <w:r>
        <w:rPr>
          <w:rFonts w:eastAsia="Calibri"/>
        </w:rPr>
        <w:tab/>
      </w:r>
      <w:r w:rsidRPr="00185B94">
        <w:rPr>
          <w:rFonts w:eastAsia="Calibri"/>
        </w:rPr>
        <w:t>Addition of other substances</w:t>
      </w:r>
    </w:p>
    <w:p w14:paraId="7AA76177" w14:textId="77777777" w:rsidR="001452C5" w:rsidRDefault="00185B94" w:rsidP="00402D76">
      <w:pPr>
        <w:spacing w:before="120" w:after="120"/>
        <w:rPr>
          <w:lang w:bidi="ar-SA"/>
        </w:rPr>
      </w:pPr>
      <w:r>
        <w:rPr>
          <w:lang w:bidi="ar-SA"/>
        </w:rPr>
        <w:t xml:space="preserve">In responding to the 2021 Consultation Paper, </w:t>
      </w:r>
      <w:r w:rsidR="006552A8">
        <w:rPr>
          <w:lang w:bidi="ar-SA"/>
        </w:rPr>
        <w:t>two</w:t>
      </w:r>
      <w:r>
        <w:rPr>
          <w:lang w:bidi="ar-SA"/>
        </w:rPr>
        <w:t xml:space="preserve"> submitters sought clarification as to</w:t>
      </w:r>
      <w:r w:rsidR="00EA468F">
        <w:rPr>
          <w:lang w:bidi="ar-SA"/>
        </w:rPr>
        <w:t xml:space="preserve"> whether the draft variation would permit the addition of other nutritive substances or ingredients (including caffeine)</w:t>
      </w:r>
      <w:r w:rsidR="006552A8">
        <w:rPr>
          <w:lang w:bidi="ar-SA"/>
        </w:rPr>
        <w:t>,</w:t>
      </w:r>
      <w:r w:rsidR="00EA468F">
        <w:rPr>
          <w:lang w:bidi="ar-SA"/>
        </w:rPr>
        <w:t xml:space="preserve"> and </w:t>
      </w:r>
      <w:r w:rsidR="0079022B">
        <w:rPr>
          <w:lang w:bidi="ar-SA"/>
        </w:rPr>
        <w:t>what</w:t>
      </w:r>
      <w:r w:rsidR="00EA468F">
        <w:rPr>
          <w:lang w:bidi="ar-SA"/>
        </w:rPr>
        <w:t xml:space="preserve"> impact this may have on both efficacy and</w:t>
      </w:r>
      <w:r w:rsidR="0079022B">
        <w:rPr>
          <w:lang w:bidi="ar-SA"/>
        </w:rPr>
        <w:t>/or</w:t>
      </w:r>
      <w:r w:rsidR="00EA468F">
        <w:rPr>
          <w:lang w:bidi="ar-SA"/>
        </w:rPr>
        <w:t xml:space="preserve"> product differentiation</w:t>
      </w:r>
      <w:r w:rsidR="0079022B">
        <w:rPr>
          <w:lang w:bidi="ar-SA"/>
        </w:rPr>
        <w:t xml:space="preserve"> for enforcement purposes</w:t>
      </w:r>
      <w:r w:rsidR="006552A8">
        <w:rPr>
          <w:lang w:bidi="ar-SA"/>
        </w:rPr>
        <w:t>.</w:t>
      </w:r>
      <w:r w:rsidR="00866BCD">
        <w:rPr>
          <w:lang w:bidi="ar-SA"/>
        </w:rPr>
        <w:t xml:space="preserve"> </w:t>
      </w:r>
    </w:p>
    <w:p w14:paraId="667B870D" w14:textId="78BC9240" w:rsidR="00123540" w:rsidRPr="00320651" w:rsidRDefault="00123540" w:rsidP="00402D76">
      <w:pPr>
        <w:spacing w:before="120" w:after="120"/>
        <w:rPr>
          <w:rFonts w:cs="Arial"/>
          <w:lang w:val="en-AU"/>
        </w:rPr>
      </w:pPr>
      <w:r w:rsidRPr="0087477E">
        <w:rPr>
          <w:rFonts w:cs="Arial"/>
          <w:lang w:val="en-AU"/>
        </w:rPr>
        <w:t xml:space="preserve">The </w:t>
      </w:r>
      <w:r>
        <w:rPr>
          <w:rFonts w:cs="Arial"/>
          <w:lang w:val="en-AU"/>
        </w:rPr>
        <w:t xml:space="preserve">amendments made by the </w:t>
      </w:r>
      <w:r w:rsidRPr="0087477E">
        <w:rPr>
          <w:rFonts w:cs="Arial"/>
          <w:lang w:val="en-AU"/>
        </w:rPr>
        <w:t xml:space="preserve">draft variation </w:t>
      </w:r>
      <w:r>
        <w:rPr>
          <w:rFonts w:cs="Arial"/>
        </w:rPr>
        <w:t xml:space="preserve">set compositional requirements for </w:t>
      </w:r>
      <w:r>
        <w:rPr>
          <w:rFonts w:cs="Arial"/>
          <w:lang w:val="en-AU"/>
        </w:rPr>
        <w:t xml:space="preserve">an electrolyte drink and list specific substances that an electrolyte drink must or may contain. None of the amendments of themselves </w:t>
      </w:r>
      <w:r w:rsidRPr="0087477E">
        <w:rPr>
          <w:rFonts w:cs="Arial"/>
          <w:lang w:val="en-AU"/>
        </w:rPr>
        <w:t xml:space="preserve">expressly prohibit the </w:t>
      </w:r>
      <w:r w:rsidRPr="0087477E">
        <w:rPr>
          <w:rFonts w:cs="Arial"/>
          <w:lang w:bidi="ar-SA"/>
        </w:rPr>
        <w:t xml:space="preserve">addition </w:t>
      </w:r>
      <w:r w:rsidRPr="0087477E">
        <w:rPr>
          <w:rFonts w:cs="Arial"/>
        </w:rPr>
        <w:t xml:space="preserve">to </w:t>
      </w:r>
      <w:r w:rsidRPr="0087477E">
        <w:rPr>
          <w:rFonts w:cs="Arial"/>
          <w:lang w:val="en-AU"/>
        </w:rPr>
        <w:t>an electrolyte drink</w:t>
      </w:r>
      <w:r>
        <w:rPr>
          <w:rFonts w:cs="Arial"/>
          <w:lang w:val="en-AU"/>
        </w:rPr>
        <w:t xml:space="preserve"> of any other nutritive substance or ingredient.</w:t>
      </w:r>
    </w:p>
    <w:p w14:paraId="06470BE8" w14:textId="077ED4B8" w:rsidR="00123540" w:rsidRDefault="00123540" w:rsidP="00402D76">
      <w:pPr>
        <w:spacing w:before="120" w:after="120"/>
        <w:rPr>
          <w:rFonts w:cs="Arial"/>
          <w:lang w:val="en-AU"/>
        </w:rPr>
      </w:pPr>
      <w:r>
        <w:rPr>
          <w:rFonts w:cs="Arial"/>
          <w:lang w:val="en-AU"/>
        </w:rPr>
        <w:t xml:space="preserve">Other provisions of the Code regulate the </w:t>
      </w:r>
      <w:r>
        <w:rPr>
          <w:lang w:bidi="ar-SA"/>
        </w:rPr>
        <w:t xml:space="preserve">addition of other nutritive substances or ingredients to </w:t>
      </w:r>
      <w:r w:rsidRPr="0087477E">
        <w:rPr>
          <w:rFonts w:cs="Arial"/>
          <w:lang w:val="en-AU"/>
        </w:rPr>
        <w:t>electrolyte drink</w:t>
      </w:r>
      <w:r>
        <w:rPr>
          <w:rFonts w:cs="Arial"/>
          <w:lang w:val="en-AU"/>
        </w:rPr>
        <w:t xml:space="preserve">s. Section </w:t>
      </w:r>
      <w:r>
        <w:rPr>
          <w:rFonts w:cs="Arial"/>
        </w:rPr>
        <w:t xml:space="preserve">1.1.1—10 of the </w:t>
      </w:r>
      <w:r>
        <w:rPr>
          <w:rFonts w:cs="Arial"/>
          <w:lang w:val="en-AU"/>
        </w:rPr>
        <w:t xml:space="preserve">Code provides that a food for sale must not contain, as an ingredient or a component, a substance that has been used as a nutritive substance unless expressly permitted by the Code. This means that an electrolyte drink must not contain a nutritive substance as an ingredient or component </w:t>
      </w:r>
      <w:r w:rsidRPr="0087477E">
        <w:rPr>
          <w:rFonts w:cs="Arial"/>
          <w:lang w:val="en-AU"/>
        </w:rPr>
        <w:t>unless</w:t>
      </w:r>
      <w:r>
        <w:rPr>
          <w:rFonts w:cs="Arial"/>
          <w:lang w:val="en-AU"/>
        </w:rPr>
        <w:t xml:space="preserve"> that the use or presence is </w:t>
      </w:r>
      <w:r w:rsidRPr="0087477E">
        <w:rPr>
          <w:rFonts w:cs="Arial"/>
          <w:lang w:val="en-AU"/>
        </w:rPr>
        <w:t>expressly</w:t>
      </w:r>
      <w:r>
        <w:rPr>
          <w:rFonts w:cs="Arial"/>
          <w:lang w:val="en-AU"/>
        </w:rPr>
        <w:t xml:space="preserve"> permitted by the Code.  Section </w:t>
      </w:r>
      <w:r>
        <w:rPr>
          <w:rFonts w:cs="Arial"/>
        </w:rPr>
        <w:t xml:space="preserve">1.1.1—10 imposes a similar prohibition </w:t>
      </w:r>
      <w:r>
        <w:rPr>
          <w:rFonts w:cs="Arial"/>
          <w:lang w:val="en-AU"/>
        </w:rPr>
        <w:t>for substances used as food additives or as processing aids.</w:t>
      </w:r>
    </w:p>
    <w:p w14:paraId="1FB90277" w14:textId="767B0A49" w:rsidR="00123540" w:rsidRPr="00123540" w:rsidRDefault="00123540" w:rsidP="00402D76">
      <w:pPr>
        <w:spacing w:before="120" w:after="120"/>
        <w:rPr>
          <w:rFonts w:cs="Arial"/>
          <w:lang w:val="en-AU"/>
        </w:rPr>
      </w:pPr>
      <w:r>
        <w:rPr>
          <w:rFonts w:cs="Arial"/>
          <w:lang w:val="en-AU"/>
        </w:rPr>
        <w:t xml:space="preserve">The above also means that caffeine </w:t>
      </w:r>
      <w:r w:rsidRPr="0087477E">
        <w:rPr>
          <w:rFonts w:cs="Arial"/>
          <w:lang w:val="en-AU"/>
        </w:rPr>
        <w:t>cannot</w:t>
      </w:r>
      <w:r>
        <w:rPr>
          <w:rFonts w:cs="Arial"/>
          <w:lang w:val="en-AU"/>
        </w:rPr>
        <w:t xml:space="preserve"> be present in an electrolyte drink as a result of being used as a nutritive substance, food additive or processing aid </w:t>
      </w:r>
      <w:r w:rsidRPr="0087477E">
        <w:rPr>
          <w:rFonts w:cs="Arial"/>
          <w:lang w:val="en-AU"/>
        </w:rPr>
        <w:t>unless</w:t>
      </w:r>
      <w:r>
        <w:rPr>
          <w:rFonts w:cs="Arial"/>
          <w:lang w:val="en-AU"/>
        </w:rPr>
        <w:t xml:space="preserve"> that use, addition or presence is </w:t>
      </w:r>
      <w:r w:rsidRPr="0087477E">
        <w:rPr>
          <w:rFonts w:cs="Arial"/>
          <w:lang w:val="en-AU"/>
        </w:rPr>
        <w:t>expressly</w:t>
      </w:r>
      <w:r>
        <w:rPr>
          <w:rFonts w:cs="Arial"/>
          <w:lang w:val="en-AU"/>
        </w:rPr>
        <w:t xml:space="preserve"> permitted by the Code</w:t>
      </w:r>
      <w:r w:rsidR="00A30504">
        <w:rPr>
          <w:rFonts w:cs="Arial"/>
          <w:lang w:val="en-AU"/>
        </w:rPr>
        <w:t xml:space="preserve">. </w:t>
      </w:r>
      <w:r w:rsidRPr="00123540">
        <w:rPr>
          <w:rFonts w:cs="Arial"/>
          <w:lang w:val="en-AU"/>
        </w:rPr>
        <w:t xml:space="preserve">FSANZ is not aware of any relevant express permissions in the Code allowing the use, addition or presence of caffeine in an electrolyte </w:t>
      </w:r>
      <w:r w:rsidRPr="00123540">
        <w:rPr>
          <w:rFonts w:cs="Arial"/>
          <w:lang w:val="en-AU"/>
        </w:rPr>
        <w:lastRenderedPageBreak/>
        <w:t>drink as a nutritive substance, food additi</w:t>
      </w:r>
      <w:r w:rsidR="00A30504">
        <w:rPr>
          <w:rFonts w:cs="Arial"/>
          <w:lang w:val="en-AU"/>
        </w:rPr>
        <w:t xml:space="preserve">ve or processing aid. </w:t>
      </w:r>
      <w:r w:rsidRPr="00123540">
        <w:rPr>
          <w:rFonts w:cs="Arial"/>
          <w:lang w:val="en-AU"/>
        </w:rPr>
        <w:t>FSANZ also notes the New Zealand High Court’s consideration of the above-mentioned provisions in its decision in 2012 that the Code did not permit the addition of caffeine to an electrolyte drink as a food additive.</w:t>
      </w:r>
    </w:p>
    <w:p w14:paraId="0A4E39B4" w14:textId="62CA7679" w:rsidR="00E65863" w:rsidRDefault="00123540" w:rsidP="00402D76">
      <w:pPr>
        <w:spacing w:before="120" w:after="120"/>
        <w:rPr>
          <w:rFonts w:cs="Arial"/>
          <w:lang w:val="en-AU"/>
        </w:rPr>
      </w:pPr>
      <w:r w:rsidRPr="00320651">
        <w:rPr>
          <w:rFonts w:cs="Arial"/>
          <w:lang w:val="en-AU"/>
        </w:rPr>
        <w:t>The regulation of caffeine by the Code is being considered by FSANZ in Proposal P1056</w:t>
      </w:r>
      <w:r w:rsidR="007153CF">
        <w:rPr>
          <w:rFonts w:cs="Arial"/>
          <w:lang w:val="en-AU"/>
        </w:rPr>
        <w:t xml:space="preserve"> – Caffeine Review</w:t>
      </w:r>
      <w:r w:rsidRPr="00320651">
        <w:rPr>
          <w:rFonts w:cs="Arial"/>
          <w:lang w:val="en-AU"/>
        </w:rPr>
        <w:t>.</w:t>
      </w:r>
    </w:p>
    <w:p w14:paraId="202D6FFB" w14:textId="2F78A9C9" w:rsidR="00E65863" w:rsidRPr="00FF5369" w:rsidRDefault="00E65863" w:rsidP="00E65863">
      <w:pPr>
        <w:pStyle w:val="Heading3"/>
      </w:pPr>
      <w:bookmarkStart w:id="131" w:name="_Toc100829773"/>
      <w:bookmarkStart w:id="132" w:name="_Toc103090815"/>
      <w:bookmarkStart w:id="133" w:name="_Toc103197707"/>
      <w:r w:rsidRPr="00FF5369">
        <w:t>2.4.</w:t>
      </w:r>
      <w:r>
        <w:t>4</w:t>
      </w:r>
      <w:r w:rsidRPr="00FF5369">
        <w:tab/>
        <w:t>Osmolality</w:t>
      </w:r>
      <w:bookmarkEnd w:id="131"/>
      <w:bookmarkEnd w:id="132"/>
      <w:bookmarkEnd w:id="133"/>
      <w:r w:rsidRPr="00FF5369">
        <w:t xml:space="preserve"> </w:t>
      </w:r>
    </w:p>
    <w:p w14:paraId="0A2DA77C" w14:textId="77777777" w:rsidR="00E65863" w:rsidRPr="00A30504" w:rsidRDefault="00E65863" w:rsidP="00A30504">
      <w:pPr>
        <w:widowControl/>
        <w:spacing w:before="120" w:after="120"/>
        <w:rPr>
          <w:i/>
        </w:rPr>
      </w:pPr>
      <w:r w:rsidRPr="00A30504">
        <w:rPr>
          <w:i/>
        </w:rPr>
        <w:t xml:space="preserve">Proposed approach and amendments in 2021 </w:t>
      </w:r>
    </w:p>
    <w:p w14:paraId="147EF579" w14:textId="77777777" w:rsidR="00E65863" w:rsidRDefault="00E65863" w:rsidP="00E65863">
      <w:pPr>
        <w:widowControl/>
        <w:rPr>
          <w:rFonts w:cs="Arial"/>
        </w:rPr>
      </w:pPr>
      <w:r>
        <w:t xml:space="preserve">In 2021, FSANZ proposed an amendment to 2014 draft variation </w:t>
      </w:r>
      <w:r>
        <w:rPr>
          <w:bCs/>
          <w:color w:val="000000"/>
          <w:szCs w:val="22"/>
          <w:lang w:bidi="ar-SA"/>
        </w:rPr>
        <w:t xml:space="preserve">that, commensurate with the lower minimum carbohydrate permission for electrolyte drinks, would </w:t>
      </w:r>
      <w:r>
        <w:t xml:space="preserve">reduce the lower threshold of the </w:t>
      </w:r>
      <w:r w:rsidRPr="005361C8">
        <w:t xml:space="preserve">average </w:t>
      </w:r>
      <w:r>
        <w:t xml:space="preserve">osmolality </w:t>
      </w:r>
      <w:r w:rsidRPr="005361C8">
        <w:t xml:space="preserve">range </w:t>
      </w:r>
      <w:r>
        <w:rPr>
          <w:rFonts w:cs="Arial"/>
          <w:szCs w:val="20"/>
          <w:lang w:eastAsia="en-GB" w:bidi="ar-SA"/>
        </w:rPr>
        <w:t>to 200 mOsm/kg while r</w:t>
      </w:r>
      <w:r>
        <w:rPr>
          <w:rFonts w:cs="Arial"/>
        </w:rPr>
        <w:t>etaining</w:t>
      </w:r>
      <w:r w:rsidRPr="007C0B66">
        <w:rPr>
          <w:rFonts w:cs="Arial"/>
        </w:rPr>
        <w:t xml:space="preserve"> t</w:t>
      </w:r>
      <w:r w:rsidRPr="007C0B66">
        <w:rPr>
          <w:rFonts w:cs="Arial"/>
          <w:szCs w:val="20"/>
          <w:lang w:eastAsia="en-GB"/>
        </w:rPr>
        <w:t>he maximum osmolality</w:t>
      </w:r>
      <w:r>
        <w:rPr>
          <w:rFonts w:cs="Arial"/>
          <w:szCs w:val="20"/>
          <w:lang w:eastAsia="en-GB"/>
        </w:rPr>
        <w:t xml:space="preserve"> </w:t>
      </w:r>
      <w:r>
        <w:rPr>
          <w:rFonts w:cs="Arial"/>
          <w:szCs w:val="20"/>
        </w:rPr>
        <w:t xml:space="preserve">of </w:t>
      </w:r>
      <w:r w:rsidRPr="00E8046B">
        <w:rPr>
          <w:rFonts w:cs="Arial"/>
          <w:szCs w:val="20"/>
        </w:rPr>
        <w:t>340 mOsm/kg</w:t>
      </w:r>
      <w:r>
        <w:rPr>
          <w:rFonts w:cs="Arial"/>
          <w:szCs w:val="20"/>
          <w:lang w:eastAsia="en-GB"/>
        </w:rPr>
        <w:t>.</w:t>
      </w:r>
      <w:r w:rsidRPr="007C0B66">
        <w:rPr>
          <w:rFonts w:cs="Arial"/>
        </w:rPr>
        <w:t xml:space="preserve"> </w:t>
      </w:r>
      <w:r>
        <w:rPr>
          <w:rFonts w:cs="Arial"/>
        </w:rPr>
        <w:t>Section 2.3.5.2.2 and page 22 of the 2021 Consultation Paper list the reasons for this amendment.</w:t>
      </w:r>
    </w:p>
    <w:p w14:paraId="296C703E" w14:textId="77777777" w:rsidR="00E65863" w:rsidRDefault="00E65863" w:rsidP="00A30504">
      <w:pPr>
        <w:widowControl/>
        <w:spacing w:before="120" w:after="120"/>
        <w:rPr>
          <w:lang w:bidi="ar-SA"/>
        </w:rPr>
      </w:pPr>
      <w:r>
        <w:rPr>
          <w:bCs/>
          <w:color w:val="000000"/>
          <w:szCs w:val="22"/>
          <w:lang w:bidi="ar-SA"/>
        </w:rPr>
        <w:t xml:space="preserve">Submitters supported the amendment. </w:t>
      </w:r>
      <w:r>
        <w:rPr>
          <w:rFonts w:cs="Arial"/>
        </w:rPr>
        <w:t xml:space="preserve">Submitters also </w:t>
      </w:r>
      <w:r w:rsidRPr="0078598B">
        <w:rPr>
          <w:lang w:bidi="ar-SA"/>
        </w:rPr>
        <w:t>agreed that the units of measure for osmolality for should be changed from /L to /kg for all compositional requirements.</w:t>
      </w:r>
      <w:r>
        <w:rPr>
          <w:lang w:bidi="ar-SA"/>
        </w:rPr>
        <w:t xml:space="preserve"> Section 2.3.5.5 below discusses claims in relation to tonicity. </w:t>
      </w:r>
    </w:p>
    <w:p w14:paraId="6009E8B0" w14:textId="77777777" w:rsidR="00E65863" w:rsidRPr="00402D76" w:rsidRDefault="00E65863" w:rsidP="00402D76">
      <w:pPr>
        <w:widowControl/>
        <w:spacing w:before="120" w:after="120"/>
        <w:rPr>
          <w:i/>
        </w:rPr>
      </w:pPr>
      <w:r w:rsidRPr="00402D76">
        <w:rPr>
          <w:i/>
        </w:rPr>
        <w:t>FSANZ’s decision</w:t>
      </w:r>
    </w:p>
    <w:p w14:paraId="1B89F9C3" w14:textId="61FA30AB" w:rsidR="00E65863" w:rsidRPr="00123540" w:rsidRDefault="00E65863" w:rsidP="002F7A42">
      <w:pPr>
        <w:rPr>
          <w:rFonts w:cs="Arial"/>
          <w:lang w:val="en-AU"/>
        </w:rPr>
      </w:pPr>
      <w:r>
        <w:t>FSANZ decided to proceed with this amendment.</w:t>
      </w:r>
    </w:p>
    <w:p w14:paraId="3FC402E7" w14:textId="2E301787" w:rsidR="004F2CBD" w:rsidRPr="000735DD" w:rsidRDefault="00C76679" w:rsidP="00FC1283">
      <w:pPr>
        <w:pStyle w:val="Heading3"/>
        <w:spacing w:after="120"/>
      </w:pPr>
      <w:bookmarkStart w:id="134" w:name="_Toc100829774"/>
      <w:bookmarkStart w:id="135" w:name="_Toc103090816"/>
      <w:bookmarkStart w:id="136" w:name="_Toc103197708"/>
      <w:r>
        <w:t>2.4</w:t>
      </w:r>
      <w:r w:rsidR="004F2CBD" w:rsidRPr="000735DD">
        <w:t>.5</w:t>
      </w:r>
      <w:r w:rsidR="004F2CBD" w:rsidRPr="000735DD">
        <w:tab/>
        <w:t>Labelling</w:t>
      </w:r>
      <w:bookmarkEnd w:id="134"/>
      <w:bookmarkEnd w:id="135"/>
      <w:bookmarkEnd w:id="136"/>
      <w:r w:rsidR="004F2CBD" w:rsidRPr="000735DD">
        <w:t xml:space="preserve"> </w:t>
      </w:r>
    </w:p>
    <w:p w14:paraId="7D5855E0" w14:textId="7C0A4E46" w:rsidR="004F2CBD" w:rsidRPr="000735DD" w:rsidRDefault="00575CDA" w:rsidP="006339BD">
      <w:pPr>
        <w:pStyle w:val="Heading4"/>
        <w:rPr>
          <w:rFonts w:eastAsia="Calibri"/>
        </w:rPr>
      </w:pPr>
      <w:r>
        <w:rPr>
          <w:rFonts w:eastAsia="Calibri"/>
        </w:rPr>
        <w:t>2.</w:t>
      </w:r>
      <w:r w:rsidR="00C76679">
        <w:rPr>
          <w:rFonts w:eastAsia="Calibri"/>
        </w:rPr>
        <w:t>4</w:t>
      </w:r>
      <w:r>
        <w:rPr>
          <w:rFonts w:eastAsia="Calibri"/>
        </w:rPr>
        <w:t xml:space="preserve">.5.1 </w:t>
      </w:r>
      <w:r>
        <w:rPr>
          <w:rFonts w:eastAsia="Calibri"/>
        </w:rPr>
        <w:tab/>
        <w:t>Electrolyte drink</w:t>
      </w:r>
      <w:r w:rsidR="004F2CBD" w:rsidRPr="000735DD">
        <w:rPr>
          <w:rFonts w:eastAsia="Calibri"/>
        </w:rPr>
        <w:t xml:space="preserve"> as a prescribed name</w:t>
      </w:r>
    </w:p>
    <w:p w14:paraId="057F9103" w14:textId="5B61B519" w:rsidR="00C666C3" w:rsidRPr="0034053B" w:rsidRDefault="00C666C3" w:rsidP="00C666C3">
      <w:pPr>
        <w:pStyle w:val="Heading4"/>
        <w:keepNext w:val="0"/>
        <w:widowControl/>
        <w:spacing w:before="120" w:after="120"/>
        <w:rPr>
          <w:b w:val="0"/>
          <w:lang w:eastAsia="en-AU"/>
        </w:rPr>
      </w:pPr>
      <w:r w:rsidRPr="0034053B">
        <w:rPr>
          <w:b w:val="0"/>
          <w:lang w:eastAsia="en-AU"/>
        </w:rPr>
        <w:t xml:space="preserve">Proposed approach </w:t>
      </w:r>
      <w:r>
        <w:rPr>
          <w:b w:val="0"/>
          <w:lang w:eastAsia="en-AU"/>
        </w:rPr>
        <w:t>in 2014</w:t>
      </w:r>
    </w:p>
    <w:p w14:paraId="0F0B6B0F" w14:textId="6A628A08" w:rsidR="0029285F" w:rsidRDefault="0029285F" w:rsidP="00C666C3">
      <w:pPr>
        <w:widowControl/>
        <w:spacing w:before="120" w:after="120"/>
      </w:pPr>
      <w:r>
        <w:t xml:space="preserve">The draft variation prepared by FSANZ in 2014 proposed to prescribe the name ‘Electrolyte drink’ for electrolyte drinks and electrolyte drink bases. The </w:t>
      </w:r>
      <w:r w:rsidR="00BC44BB">
        <w:t>reason was</w:t>
      </w:r>
      <w:r>
        <w:t xml:space="preserve"> </w:t>
      </w:r>
      <w:r w:rsidR="00BC44BB">
        <w:t xml:space="preserve">to help </w:t>
      </w:r>
      <w:r>
        <w:t>clearly identify electrolyte drinks</w:t>
      </w:r>
      <w:r w:rsidR="00BC44BB">
        <w:t xml:space="preserve"> for enforcement purposes</w:t>
      </w:r>
      <w:r>
        <w:t xml:space="preserve">. As mentioned </w:t>
      </w:r>
      <w:r w:rsidR="005A6E3C">
        <w:t xml:space="preserve">in Section 1.3.4 </w:t>
      </w:r>
      <w:r>
        <w:t xml:space="preserve">above, Standard 1.2.2 requires that the label on a package of food must include the prescribed name of the food (if a name is prescribed by the Code) and in any other case, a name or description of the food sufficient to indicate the true nature of the food. </w:t>
      </w:r>
    </w:p>
    <w:p w14:paraId="4BB95B3B" w14:textId="19E0A8F5" w:rsidR="0029285F" w:rsidRDefault="0029285F" w:rsidP="0029285F">
      <w:r>
        <w:t>There were very few comments about this from submitters in 2014. O</w:t>
      </w:r>
      <w:r w:rsidRPr="004C06E5">
        <w:t xml:space="preserve">ne government submitter </w:t>
      </w:r>
      <w:r>
        <w:t>supported the proposed approach whereas an industry submitter opposed it</w:t>
      </w:r>
      <w:r w:rsidRPr="004C06E5">
        <w:t xml:space="preserve">. The </w:t>
      </w:r>
      <w:r>
        <w:t>latter</w:t>
      </w:r>
      <w:r w:rsidRPr="004C06E5">
        <w:t xml:space="preserve"> </w:t>
      </w:r>
      <w:r w:rsidR="00BC44BB">
        <w:t>argued</w:t>
      </w:r>
      <w:r w:rsidRPr="004C06E5">
        <w:t xml:space="preserve"> there was no demonstrated need for a prescribed name and that the requirement for a prescribed name would warrant WTO notification</w:t>
      </w:r>
      <w:r>
        <w:t>.</w:t>
      </w:r>
    </w:p>
    <w:p w14:paraId="50130930" w14:textId="77777777" w:rsidR="00C666C3" w:rsidRPr="0034053B" w:rsidRDefault="00C666C3" w:rsidP="00C666C3">
      <w:pPr>
        <w:pStyle w:val="Heading4"/>
        <w:keepNext w:val="0"/>
        <w:widowControl/>
        <w:spacing w:before="120" w:after="120"/>
        <w:rPr>
          <w:b w:val="0"/>
          <w:lang w:eastAsia="en-AU"/>
        </w:rPr>
      </w:pPr>
      <w:r w:rsidRPr="0034053B">
        <w:rPr>
          <w:b w:val="0"/>
          <w:lang w:eastAsia="en-AU"/>
        </w:rPr>
        <w:t xml:space="preserve">Proposed approach </w:t>
      </w:r>
      <w:r>
        <w:rPr>
          <w:b w:val="0"/>
          <w:lang w:eastAsia="en-AU"/>
        </w:rPr>
        <w:t xml:space="preserve">and amendments </w:t>
      </w:r>
      <w:r w:rsidRPr="0034053B">
        <w:rPr>
          <w:b w:val="0"/>
          <w:lang w:eastAsia="en-AU"/>
        </w:rPr>
        <w:t xml:space="preserve">in </w:t>
      </w:r>
      <w:r>
        <w:rPr>
          <w:b w:val="0"/>
          <w:lang w:eastAsia="en-AU"/>
        </w:rPr>
        <w:t>2021</w:t>
      </w:r>
      <w:r w:rsidRPr="0034053B">
        <w:rPr>
          <w:b w:val="0"/>
          <w:lang w:eastAsia="en-AU"/>
        </w:rPr>
        <w:t xml:space="preserve"> </w:t>
      </w:r>
    </w:p>
    <w:p w14:paraId="17AEE43E" w14:textId="235A158D" w:rsidR="00453602" w:rsidRDefault="00453602" w:rsidP="00AB7D03">
      <w:pPr>
        <w:widowControl/>
        <w:spacing w:before="120" w:after="120"/>
      </w:pPr>
      <w:r>
        <w:t>In the 2021 Consultation Paper</w:t>
      </w:r>
      <w:r w:rsidR="002D6F2A">
        <w:t xml:space="preserve">, </w:t>
      </w:r>
      <w:r>
        <w:t xml:space="preserve">FSANZ </w:t>
      </w:r>
      <w:r w:rsidR="00BC44BB">
        <w:t>maintained the</w:t>
      </w:r>
      <w:r>
        <w:t xml:space="preserve"> </w:t>
      </w:r>
      <w:r w:rsidR="0029285F">
        <w:t>approach proposed in 2014</w:t>
      </w:r>
      <w:r>
        <w:t>.</w:t>
      </w:r>
      <w:r w:rsidR="0029285F">
        <w:t xml:space="preserve"> </w:t>
      </w:r>
      <w:r w:rsidR="002D6F2A">
        <w:t>Section 2.3.9</w:t>
      </w:r>
      <w:r w:rsidR="00BC44BB">
        <w:t>.</w:t>
      </w:r>
      <w:r w:rsidR="002D6F2A">
        <w:t>2 of the Consultation Paper</w:t>
      </w:r>
      <w:r w:rsidR="00BC44BB">
        <w:t xml:space="preserve"> listed</w:t>
      </w:r>
      <w:r w:rsidR="002D6F2A">
        <w:t xml:space="preserve"> FSANZ</w:t>
      </w:r>
      <w:r w:rsidR="002E39CF">
        <w:t>’s</w:t>
      </w:r>
      <w:r w:rsidR="002D6F2A">
        <w:t xml:space="preserve"> reasons for doing so.</w:t>
      </w:r>
    </w:p>
    <w:p w14:paraId="40E379D8" w14:textId="02550DD2" w:rsidR="004F2CBD" w:rsidRDefault="00575CDA" w:rsidP="00AB7D03">
      <w:pPr>
        <w:widowControl/>
        <w:spacing w:before="120" w:after="120"/>
      </w:pPr>
      <w:r>
        <w:t>All s</w:t>
      </w:r>
      <w:r w:rsidR="004F2CBD">
        <w:t xml:space="preserve">ubmitters </w:t>
      </w:r>
      <w:r w:rsidR="002D6F2A">
        <w:t xml:space="preserve">in 2021 </w:t>
      </w:r>
      <w:r w:rsidR="004F2CBD">
        <w:t>supported th</w:t>
      </w:r>
      <w:r w:rsidR="00453602">
        <w:t>is approach</w:t>
      </w:r>
      <w:r w:rsidR="002D6F2A">
        <w:t>,</w:t>
      </w:r>
      <w:r w:rsidR="004F2CBD">
        <w:t xml:space="preserve"> acknowledging it is advantageous for identification purposes in providing clarity for both consumers and enforcement agencies</w:t>
      </w:r>
      <w:r w:rsidR="005A5C80">
        <w:t xml:space="preserve">. </w:t>
      </w:r>
      <w:r w:rsidR="00453602">
        <w:t>‘Electrolyte drink’</w:t>
      </w:r>
      <w:r w:rsidR="004F2CBD">
        <w:t xml:space="preserve"> is also commonly used on labels </w:t>
      </w:r>
      <w:r w:rsidR="00453602">
        <w:t xml:space="preserve">of electrolyte drinks </w:t>
      </w:r>
      <w:r w:rsidR="004F2CBD">
        <w:t xml:space="preserve">to meet the </w:t>
      </w:r>
      <w:r w:rsidR="00830D60">
        <w:t xml:space="preserve">current </w:t>
      </w:r>
      <w:r w:rsidR="004F2CBD">
        <w:t>requirements of Standard 1.2.2–2 which requires manufacturers to include a name or descript</w:t>
      </w:r>
      <w:r w:rsidR="00453602">
        <w:t>ion</w:t>
      </w:r>
      <w:r w:rsidR="004F2CBD">
        <w:t xml:space="preserve"> </w:t>
      </w:r>
      <w:r w:rsidR="00453602" w:rsidRPr="001D1563">
        <w:t xml:space="preserve">sufficient </w:t>
      </w:r>
      <w:r w:rsidR="004F2CBD">
        <w:t xml:space="preserve">to indicate the true nature of the </w:t>
      </w:r>
      <w:r w:rsidR="00453602">
        <w:t>food</w:t>
      </w:r>
      <w:r w:rsidR="004F2CBD">
        <w:t xml:space="preserve">. </w:t>
      </w:r>
      <w:r w:rsidR="00D61DEE">
        <w:t xml:space="preserve">See also FSANZ’s response in Table 1 above on this issue and in </w:t>
      </w:r>
      <w:r w:rsidR="00310A40">
        <w:t>S</w:t>
      </w:r>
      <w:r w:rsidR="00D61DEE">
        <w:t>ection 2.4.2 below.</w:t>
      </w:r>
    </w:p>
    <w:p w14:paraId="0E232CBB" w14:textId="320FA653" w:rsidR="00C666C3" w:rsidRDefault="00C666C3" w:rsidP="004F2CBD">
      <w:pPr>
        <w:tabs>
          <w:tab w:val="left" w:pos="1163"/>
        </w:tabs>
      </w:pPr>
      <w:r w:rsidRPr="00CC5CFF">
        <w:rPr>
          <w:i/>
        </w:rPr>
        <w:t>FSANZ’s decision</w:t>
      </w:r>
    </w:p>
    <w:p w14:paraId="14A90B37" w14:textId="365FA3FF" w:rsidR="000D5A80" w:rsidRPr="000D5A80" w:rsidRDefault="004F2CBD" w:rsidP="00AB7D03">
      <w:pPr>
        <w:widowControl/>
        <w:spacing w:before="120" w:after="120"/>
      </w:pPr>
      <w:r>
        <w:t xml:space="preserve">FSANZ </w:t>
      </w:r>
      <w:r w:rsidR="00453602">
        <w:t>therefore has decided to prescribe the name ‘Electrolyte drink’ for electrolyte drinks and electrolyte drink bases to</w:t>
      </w:r>
      <w:r w:rsidR="003411BF">
        <w:t xml:space="preserve"> </w:t>
      </w:r>
      <w:r>
        <w:t>provide certainty for product identification</w:t>
      </w:r>
      <w:r w:rsidR="00830D60">
        <w:t>,</w:t>
      </w:r>
      <w:r>
        <w:t xml:space="preserve"> </w:t>
      </w:r>
      <w:r w:rsidR="00830D60">
        <w:t xml:space="preserve">in particular for enforcement purposes, to avoid confusion with </w:t>
      </w:r>
      <w:r>
        <w:t>other similar beverages that do not have the same requirements and permissions</w:t>
      </w:r>
      <w:r w:rsidR="00830D60" w:rsidRPr="00830D60">
        <w:t xml:space="preserve"> </w:t>
      </w:r>
      <w:r w:rsidR="00830D60">
        <w:t>such as FSSF and formulated beverages</w:t>
      </w:r>
      <w:r>
        <w:t>.</w:t>
      </w:r>
    </w:p>
    <w:p w14:paraId="55652D4B" w14:textId="0DD7B694" w:rsidR="000D5A80" w:rsidRPr="000735DD" w:rsidRDefault="00C76679" w:rsidP="006339BD">
      <w:pPr>
        <w:pStyle w:val="Heading4"/>
        <w:rPr>
          <w:rFonts w:eastAsia="Calibri"/>
        </w:rPr>
      </w:pPr>
      <w:r>
        <w:rPr>
          <w:rFonts w:eastAsia="Calibri"/>
        </w:rPr>
        <w:lastRenderedPageBreak/>
        <w:t>2.4</w:t>
      </w:r>
      <w:r w:rsidR="000D5A80">
        <w:rPr>
          <w:rFonts w:eastAsia="Calibri"/>
        </w:rPr>
        <w:t>.5.2</w:t>
      </w:r>
      <w:r w:rsidR="000D5A80" w:rsidRPr="000735DD">
        <w:rPr>
          <w:rFonts w:eastAsia="Calibri"/>
        </w:rPr>
        <w:t xml:space="preserve"> </w:t>
      </w:r>
      <w:r w:rsidR="000D5A80" w:rsidRPr="000735DD">
        <w:rPr>
          <w:rFonts w:eastAsia="Calibri"/>
        </w:rPr>
        <w:tab/>
      </w:r>
      <w:r w:rsidR="000D5A80">
        <w:rPr>
          <w:rFonts w:eastAsia="Calibri"/>
        </w:rPr>
        <w:t>Nutrition information</w:t>
      </w:r>
      <w:r w:rsidR="00C64070">
        <w:rPr>
          <w:rFonts w:eastAsia="Calibri"/>
        </w:rPr>
        <w:t xml:space="preserve"> requirements</w:t>
      </w:r>
    </w:p>
    <w:p w14:paraId="6B7EECF2" w14:textId="77777777" w:rsidR="00BC44BB" w:rsidRPr="00CC5CFF" w:rsidRDefault="00BC44BB" w:rsidP="00AB7D03">
      <w:pPr>
        <w:tabs>
          <w:tab w:val="left" w:pos="1163"/>
        </w:tabs>
        <w:rPr>
          <w:i/>
        </w:rPr>
      </w:pPr>
      <w:r w:rsidRPr="00CC5CFF">
        <w:rPr>
          <w:i/>
        </w:rPr>
        <w:t>Current requirements</w:t>
      </w:r>
    </w:p>
    <w:p w14:paraId="1B403F38" w14:textId="36970A4F" w:rsidR="005B7720" w:rsidRDefault="00D95131" w:rsidP="00AB7D03">
      <w:pPr>
        <w:widowControl/>
        <w:spacing w:before="120" w:after="120"/>
      </w:pPr>
      <w:r>
        <w:t>The Code generally requires that the labels of packaged food must contain (among other things) nutrition information in accordance with Standard 1.2.8 (see paragraph 1.2.1—8(1)(i)).</w:t>
      </w:r>
    </w:p>
    <w:p w14:paraId="5452BCC8" w14:textId="7312FDB4" w:rsidR="005B7720" w:rsidRDefault="00D95131" w:rsidP="00AB7D03">
      <w:pPr>
        <w:widowControl/>
        <w:spacing w:before="120" w:after="120"/>
      </w:pPr>
      <w:r>
        <w:t xml:space="preserve">Standard 1.2.8 requires packaged food (unless exempted) </w:t>
      </w:r>
      <w:r w:rsidR="005B7720">
        <w:t xml:space="preserve">to </w:t>
      </w:r>
      <w:r>
        <w:t>include a nutrition information panel (NIP) (section 1.2.8—5). Standard 1.2.8 also contains other requirements relating to NIPs e.g. what information must be included and how to express that information in a NIP (see sections 1.2.8—6 and 1.2.8—7).</w:t>
      </w:r>
    </w:p>
    <w:p w14:paraId="005E881B" w14:textId="774A6FFB" w:rsidR="00BC44BB" w:rsidRDefault="00D95131" w:rsidP="00AB7D03">
      <w:pPr>
        <w:widowControl/>
        <w:spacing w:before="120" w:after="120"/>
      </w:pPr>
      <w:r>
        <w:t>Additionally, electrolyte drinks are currently required by paragraph 2.6.2—11(1)(a) to include a declaration of the following information on the label of the drink: average energy content; average carbohydrate, including each type of monosaccharide and disaccharide present; and the milligrams and millimoles of added minerals and electrolytes, per 100 mL of the electrolyte drink as ready to drink.</w:t>
      </w:r>
    </w:p>
    <w:p w14:paraId="73F6CE46" w14:textId="1C5CCB31" w:rsidR="00BC44BB" w:rsidRPr="00CC5CFF" w:rsidRDefault="00BC44BB" w:rsidP="001E27FC">
      <w:pPr>
        <w:rPr>
          <w:rFonts w:eastAsia="Calibri"/>
          <w:i/>
        </w:rPr>
      </w:pPr>
      <w:r w:rsidRPr="00CC5CFF">
        <w:rPr>
          <w:rFonts w:eastAsia="Calibri"/>
          <w:i/>
        </w:rPr>
        <w:t>Proposed approach in 2014</w:t>
      </w:r>
    </w:p>
    <w:p w14:paraId="5AB70912" w14:textId="559AF4A5" w:rsidR="00BC44BB" w:rsidRDefault="00BC44BB" w:rsidP="00BC44BB">
      <w:pPr>
        <w:widowControl/>
        <w:spacing w:before="120" w:after="120"/>
      </w:pPr>
      <w:r>
        <w:t xml:space="preserve">The draft variation proposed for the 2014 </w:t>
      </w:r>
      <w:r w:rsidR="00BC2093">
        <w:t>Call for Submissions</w:t>
      </w:r>
      <w:r>
        <w:t xml:space="preserve"> transferred the additional nutrition information requirements for electrolyte drinks from Standard 2.6.2 to Standard 2.9.4 and aligned them with the provisions in Standard 1.2.8 for NIPs. This was to provide consistency in the requirements for the presentation of nutrition information on electrolyte drink labels with other food labels, to support consumer use. As requirements to declare the ‘average quantity’ of carbohydrate and the ‘average energy content’ are already set out in Standard 1.2.8, the requirements to declare carbohydrate and energy in Standard 2.6.2 were not retained. </w:t>
      </w:r>
    </w:p>
    <w:p w14:paraId="0E960D06" w14:textId="713C0112" w:rsidR="00525B83" w:rsidRDefault="00BC44BB" w:rsidP="00223764">
      <w:pPr>
        <w:widowControl/>
        <w:spacing w:before="120" w:after="120"/>
      </w:pPr>
      <w:r>
        <w:t>O</w:t>
      </w:r>
      <w:r w:rsidRPr="00FA4641">
        <w:t xml:space="preserve">ne </w:t>
      </w:r>
      <w:r w:rsidR="00525B83">
        <w:t xml:space="preserve">industry </w:t>
      </w:r>
      <w:r w:rsidRPr="00FA4641">
        <w:t xml:space="preserve">submitter </w:t>
      </w:r>
      <w:r w:rsidR="00525B83">
        <w:t>in 20</w:t>
      </w:r>
      <w:r w:rsidR="00E245E9">
        <w:t>14</w:t>
      </w:r>
      <w:r w:rsidRPr="00FA4641">
        <w:t xml:space="preserve"> </w:t>
      </w:r>
      <w:r w:rsidR="00525B83">
        <w:t>supported</w:t>
      </w:r>
      <w:r w:rsidRPr="00FA4641">
        <w:t xml:space="preserve"> </w:t>
      </w:r>
      <w:r w:rsidR="00525B83">
        <w:t>the</w:t>
      </w:r>
      <w:r w:rsidRPr="00FA4641">
        <w:t xml:space="preserve"> amendments</w:t>
      </w:r>
      <w:r w:rsidR="00525B83">
        <w:t>. Another</w:t>
      </w:r>
      <w:r>
        <w:t xml:space="preserve"> industry submitter</w:t>
      </w:r>
      <w:r w:rsidRPr="00FA4641">
        <w:t xml:space="preserve"> </w:t>
      </w:r>
      <w:r w:rsidR="00525B83">
        <w:t>opposed them on the basis that the above</w:t>
      </w:r>
      <w:r w:rsidRPr="00FA4641">
        <w:t xml:space="preserve"> would require energy, electrolytes and </w:t>
      </w:r>
      <w:r>
        <w:t>carbohydrate</w:t>
      </w:r>
      <w:r w:rsidRPr="00FA4641">
        <w:t xml:space="preserve"> to be declared in the NIP</w:t>
      </w:r>
      <w:r>
        <w:t xml:space="preserve">, </w:t>
      </w:r>
      <w:r w:rsidRPr="00FA4641">
        <w:t xml:space="preserve">including </w:t>
      </w:r>
      <w:r>
        <w:t xml:space="preserve">for </w:t>
      </w:r>
      <w:r w:rsidRPr="00FA4641">
        <w:t xml:space="preserve">small packages </w:t>
      </w:r>
      <w:r w:rsidR="00525B83">
        <w:t>which was</w:t>
      </w:r>
      <w:r w:rsidRPr="00FA4641">
        <w:t xml:space="preserve"> currently not the case</w:t>
      </w:r>
      <w:r w:rsidR="00525B83">
        <w:t>.</w:t>
      </w:r>
    </w:p>
    <w:p w14:paraId="47421DF6" w14:textId="77777777" w:rsidR="005301E0" w:rsidRPr="00223764" w:rsidRDefault="005301E0" w:rsidP="00BC44BB">
      <w:pPr>
        <w:rPr>
          <w:rFonts w:eastAsia="Calibri"/>
          <w:i/>
        </w:rPr>
      </w:pPr>
      <w:r w:rsidRPr="00223764">
        <w:rPr>
          <w:rFonts w:eastAsia="Calibri"/>
          <w:i/>
        </w:rPr>
        <w:t>Proposed approach and amendments in 2021</w:t>
      </w:r>
    </w:p>
    <w:p w14:paraId="696A41C8" w14:textId="11163261" w:rsidR="001E27FC" w:rsidRDefault="00656546" w:rsidP="00223764">
      <w:pPr>
        <w:widowControl/>
        <w:spacing w:before="120" w:after="120"/>
      </w:pPr>
      <w:r w:rsidRPr="00656546">
        <w:t>In the 2021 Consultation Paper, the general approach for NIPs on electrolyte drinks remained the same</w:t>
      </w:r>
      <w:r w:rsidR="00120F3B">
        <w:t>,</w:t>
      </w:r>
      <w:r w:rsidRPr="00656546">
        <w:t xml:space="preserve"> however the requirements remained in Standard 2.6.2.</w:t>
      </w:r>
      <w:r w:rsidR="00120F3B">
        <w:t xml:space="preserve"> In summary, the requirements proposed in 2021 were as follows: </w:t>
      </w:r>
    </w:p>
    <w:p w14:paraId="5F7977BE" w14:textId="6A34D359" w:rsidR="002A430E" w:rsidRPr="009A6F8A" w:rsidRDefault="00CF3D5A" w:rsidP="00773FB7">
      <w:pPr>
        <w:pStyle w:val="FSBullet2"/>
        <w:numPr>
          <w:ilvl w:val="0"/>
          <w:numId w:val="9"/>
        </w:numPr>
      </w:pPr>
      <w:r>
        <w:t>Retain</w:t>
      </w:r>
      <w:r w:rsidR="002F74C8">
        <w:t xml:space="preserve"> current</w:t>
      </w:r>
      <w:r w:rsidR="001E27FC">
        <w:t xml:space="preserve"> requirements in Standards 1.2.1 and 1.2.8 to label foods with an </w:t>
      </w:r>
      <w:r w:rsidR="00B05AFA">
        <w:t xml:space="preserve">NIP </w:t>
      </w:r>
      <w:r w:rsidR="001E27FC">
        <w:t>to electrolyte drinks.</w:t>
      </w:r>
      <w:r w:rsidR="002A430E">
        <w:t xml:space="preserve"> </w:t>
      </w:r>
    </w:p>
    <w:p w14:paraId="6EF2C106" w14:textId="2B7830CC" w:rsidR="0089721E" w:rsidRDefault="001E27FC" w:rsidP="00C37CD5">
      <w:pPr>
        <w:pStyle w:val="FSBullet2"/>
        <w:numPr>
          <w:ilvl w:val="0"/>
          <w:numId w:val="9"/>
        </w:numPr>
      </w:pPr>
      <w:r>
        <w:t xml:space="preserve">Retain </w:t>
      </w:r>
      <w:r w:rsidR="009C2D2B">
        <w:rPr>
          <w:lang w:bidi="en-US"/>
        </w:rPr>
        <w:t>current</w:t>
      </w:r>
      <w:r w:rsidR="009C2D2B">
        <w:t xml:space="preserve"> requirement in subsection 2.6.2—11(2) to declare </w:t>
      </w:r>
      <w:r w:rsidR="002F74C8">
        <w:t>the recommended</w:t>
      </w:r>
      <w:r w:rsidR="009C2D2B">
        <w:t xml:space="preserve"> volume and frequency of use on the labels of electrolyte drinks</w:t>
      </w:r>
      <w:r w:rsidR="002F74C8">
        <w:t>.</w:t>
      </w:r>
    </w:p>
    <w:p w14:paraId="6739CBC4" w14:textId="77E4803A" w:rsidR="00C37CD5" w:rsidRDefault="00C37CD5" w:rsidP="00C37CD5">
      <w:pPr>
        <w:pStyle w:val="FSBullet2"/>
        <w:numPr>
          <w:ilvl w:val="0"/>
          <w:numId w:val="9"/>
        </w:numPr>
      </w:pPr>
      <w:r>
        <w:t>The NIP to declare average quantity per serving and per unit quantity of each type of monosaccharide and disaccharide present.</w:t>
      </w:r>
    </w:p>
    <w:p w14:paraId="738CFE0D" w14:textId="4431017B" w:rsidR="000643F2" w:rsidRDefault="007C6549" w:rsidP="007C6549">
      <w:pPr>
        <w:pStyle w:val="FSBullet2"/>
        <w:numPr>
          <w:ilvl w:val="0"/>
          <w:numId w:val="9"/>
        </w:numPr>
        <w:rPr>
          <w:lang w:bidi="en-US"/>
        </w:rPr>
      </w:pPr>
      <w:r>
        <w:rPr>
          <w:lang w:bidi="en-US"/>
        </w:rPr>
        <w:t xml:space="preserve">In addition to the </w:t>
      </w:r>
      <w:r w:rsidR="00E60080">
        <w:rPr>
          <w:lang w:bidi="en-US"/>
        </w:rPr>
        <w:t xml:space="preserve">generic </w:t>
      </w:r>
      <w:r>
        <w:rPr>
          <w:lang w:bidi="en-US"/>
        </w:rPr>
        <w:t>requirement in Standard 1.2.8 to declare the average quantity of sodium in the NIP</w:t>
      </w:r>
      <w:r w:rsidR="000643F2">
        <w:rPr>
          <w:lang w:bidi="en-US"/>
        </w:rPr>
        <w:t xml:space="preserve">, </w:t>
      </w:r>
      <w:r w:rsidR="003D0B09">
        <w:rPr>
          <w:lang w:bidi="en-US"/>
        </w:rPr>
        <w:t xml:space="preserve">require </w:t>
      </w:r>
      <w:r w:rsidR="000643F2">
        <w:rPr>
          <w:lang w:bidi="en-US"/>
        </w:rPr>
        <w:t xml:space="preserve">the average quantity per serving and per unit quantity of </w:t>
      </w:r>
      <w:r>
        <w:rPr>
          <w:lang w:bidi="en-US"/>
        </w:rPr>
        <w:t>other</w:t>
      </w:r>
      <w:r w:rsidR="000643F2">
        <w:rPr>
          <w:lang w:bidi="en-US"/>
        </w:rPr>
        <w:t xml:space="preserve"> prescribed electrolyte</w:t>
      </w:r>
      <w:r>
        <w:rPr>
          <w:lang w:bidi="en-US"/>
        </w:rPr>
        <w:t>s (chloride, calcium, magnesium and potassium)</w:t>
      </w:r>
      <w:r w:rsidR="000643F2">
        <w:rPr>
          <w:lang w:bidi="en-US"/>
        </w:rPr>
        <w:t xml:space="preserve"> that is present in the electrolyte drink </w:t>
      </w:r>
      <w:r w:rsidR="00C11655">
        <w:rPr>
          <w:lang w:bidi="en-US"/>
        </w:rPr>
        <w:t xml:space="preserve">to </w:t>
      </w:r>
      <w:r w:rsidR="000643F2">
        <w:rPr>
          <w:lang w:bidi="en-US"/>
        </w:rPr>
        <w:t xml:space="preserve">be declared in the </w:t>
      </w:r>
      <w:r>
        <w:rPr>
          <w:lang w:bidi="en-US"/>
        </w:rPr>
        <w:t>NIP</w:t>
      </w:r>
      <w:r w:rsidR="000643F2">
        <w:rPr>
          <w:lang w:bidi="en-US"/>
        </w:rPr>
        <w:t>, i.e. the amount of each prescribed electrolyte derived from all sources</w:t>
      </w:r>
      <w:r>
        <w:rPr>
          <w:rStyle w:val="FootnoteReference"/>
          <w:lang w:bidi="en-US"/>
        </w:rPr>
        <w:footnoteReference w:id="10"/>
      </w:r>
      <w:r w:rsidR="000643F2">
        <w:rPr>
          <w:lang w:bidi="en-US"/>
        </w:rPr>
        <w:t xml:space="preserve">. </w:t>
      </w:r>
    </w:p>
    <w:p w14:paraId="02FB401F" w14:textId="285D51B4" w:rsidR="000643F2" w:rsidRPr="005C22B7" w:rsidRDefault="003D0B09" w:rsidP="000643F2">
      <w:pPr>
        <w:pStyle w:val="FSBullet2"/>
        <w:numPr>
          <w:ilvl w:val="0"/>
          <w:numId w:val="9"/>
        </w:numPr>
        <w:rPr>
          <w:lang w:bidi="en-US"/>
        </w:rPr>
      </w:pPr>
      <w:r>
        <w:t xml:space="preserve">Require </w:t>
      </w:r>
      <w:r w:rsidR="00431D99">
        <w:t>electrolytes</w:t>
      </w:r>
      <w:r w:rsidR="005D759C">
        <w:t xml:space="preserve"> </w:t>
      </w:r>
      <w:r w:rsidR="000643F2">
        <w:t xml:space="preserve">to be declared in milligrams (mg) with </w:t>
      </w:r>
      <w:r>
        <w:t xml:space="preserve">the optional </w:t>
      </w:r>
      <w:r w:rsidR="000643F2">
        <w:t>additional use of millimoles</w:t>
      </w:r>
      <w:r w:rsidR="009777C9">
        <w:t xml:space="preserve"> (mmol)</w:t>
      </w:r>
      <w:r w:rsidR="007721D6">
        <w:t>.</w:t>
      </w:r>
    </w:p>
    <w:p w14:paraId="0B9EBEB3" w14:textId="66C26CE9" w:rsidR="00703879" w:rsidRDefault="003D0B09" w:rsidP="000643F2">
      <w:pPr>
        <w:pStyle w:val="FSBullet2"/>
        <w:numPr>
          <w:ilvl w:val="0"/>
          <w:numId w:val="9"/>
        </w:numPr>
      </w:pPr>
      <w:r>
        <w:lastRenderedPageBreak/>
        <w:t>Exempt e</w:t>
      </w:r>
      <w:r w:rsidR="000643F2">
        <w:t xml:space="preserve">lectrolyte drinks from </w:t>
      </w:r>
      <w:r w:rsidR="004C0C22">
        <w:t xml:space="preserve">the requirement to </w:t>
      </w:r>
      <w:r w:rsidR="000643F2">
        <w:t xml:space="preserve">declare the </w:t>
      </w:r>
      <w:r w:rsidR="002E20E5">
        <w:t>%</w:t>
      </w:r>
      <w:r w:rsidR="009878E6">
        <w:t xml:space="preserve">RDI of minerals </w:t>
      </w:r>
      <w:r w:rsidR="00E0258A">
        <w:t>(</w:t>
      </w:r>
      <w:r w:rsidR="00E0258A">
        <w:rPr>
          <w:lang w:eastAsia="en-AU"/>
        </w:rPr>
        <w:t>calcium and magnesium)</w:t>
      </w:r>
      <w:r w:rsidR="00E0258A">
        <w:t xml:space="preserve"> </w:t>
      </w:r>
      <w:r w:rsidR="00C11655">
        <w:t xml:space="preserve">(section 1.2.8—9) </w:t>
      </w:r>
      <w:r w:rsidR="000643F2">
        <w:t>and prohibit</w:t>
      </w:r>
      <w:r>
        <w:t xml:space="preserve"> </w:t>
      </w:r>
      <w:r w:rsidR="000643F2">
        <w:t xml:space="preserve">referring to </w:t>
      </w:r>
      <w:r w:rsidR="002E20E5">
        <w:t>%</w:t>
      </w:r>
      <w:r w:rsidR="000643F2">
        <w:t>RDI in relation to an electrolyte drink</w:t>
      </w:r>
      <w:r w:rsidR="005777FE">
        <w:t>.</w:t>
      </w:r>
    </w:p>
    <w:p w14:paraId="6868AEE3" w14:textId="4BD913D1" w:rsidR="00A42D27" w:rsidRDefault="00BE36A9" w:rsidP="004E1671">
      <w:pPr>
        <w:pStyle w:val="FSBullet"/>
        <w:numPr>
          <w:ilvl w:val="0"/>
          <w:numId w:val="9"/>
        </w:numPr>
      </w:pPr>
      <w:r>
        <w:t>N</w:t>
      </w:r>
      <w:r w:rsidR="000B05BB">
        <w:t>ot apply t</w:t>
      </w:r>
      <w:r w:rsidR="000F3B71">
        <w:t xml:space="preserve">he </w:t>
      </w:r>
      <w:r w:rsidR="004C0C22">
        <w:t xml:space="preserve">requirement in </w:t>
      </w:r>
      <w:r w:rsidR="00BA15CF">
        <w:t xml:space="preserve">subsection </w:t>
      </w:r>
      <w:r w:rsidR="004C0C22">
        <w:t>1.2.8</w:t>
      </w:r>
      <w:r w:rsidR="00C402E0">
        <w:t>—6(12)</w:t>
      </w:r>
      <w:r w:rsidR="004C0C22">
        <w:t xml:space="preserve"> to declare the average quantity of potassium of the food if a nutrition content claim is made about sodium.</w:t>
      </w:r>
    </w:p>
    <w:p w14:paraId="06953A16" w14:textId="0C77BB88" w:rsidR="00703879" w:rsidRPr="005C0932" w:rsidRDefault="00703879" w:rsidP="00980CBE">
      <w:pPr>
        <w:pStyle w:val="ListParagraph"/>
        <w:numPr>
          <w:ilvl w:val="0"/>
          <w:numId w:val="9"/>
        </w:numPr>
      </w:pPr>
      <w:r>
        <w:t>Apply the existing requirements in Standard 1.2.1 for NIPs to electrolyte drinks exempt from the requirement to bear a label (under subsection 1.2.1—6(1)).</w:t>
      </w:r>
    </w:p>
    <w:p w14:paraId="4F97088E" w14:textId="2CDF5574" w:rsidR="005F4214" w:rsidRDefault="009B53B7" w:rsidP="00223764">
      <w:pPr>
        <w:widowControl/>
        <w:spacing w:before="120" w:after="120"/>
      </w:pPr>
      <w:r>
        <w:t>For electrolyte drinks in a small package</w:t>
      </w:r>
      <w:r w:rsidR="00CF3D5A">
        <w:t>,</w:t>
      </w:r>
      <w:r w:rsidR="00CF3D5A" w:rsidRPr="00CF3D5A">
        <w:t xml:space="preserve"> the requirements proposed in 2021 were as follows</w:t>
      </w:r>
      <w:r w:rsidR="005F4214">
        <w:t>:</w:t>
      </w:r>
    </w:p>
    <w:p w14:paraId="1249957F" w14:textId="27466744" w:rsidR="0035417A" w:rsidRDefault="005F4214" w:rsidP="00DE0684">
      <w:pPr>
        <w:pStyle w:val="FSBullet2"/>
        <w:numPr>
          <w:ilvl w:val="0"/>
          <w:numId w:val="27"/>
        </w:numPr>
      </w:pPr>
      <w:r>
        <w:t xml:space="preserve">Apply </w:t>
      </w:r>
      <w:r w:rsidR="009B53B7">
        <w:t>t</w:t>
      </w:r>
      <w:r w:rsidR="00A42D27">
        <w:t xml:space="preserve">he current exemption from the requirement to include a NIP </w:t>
      </w:r>
      <w:r w:rsidR="009B53B7">
        <w:t>(in Standard 1.2.8) on the label</w:t>
      </w:r>
      <w:r w:rsidR="00BE36A9">
        <w:t>.</w:t>
      </w:r>
    </w:p>
    <w:p w14:paraId="15D45396" w14:textId="219E3139" w:rsidR="00974485" w:rsidRDefault="00BE36A9">
      <w:pPr>
        <w:pStyle w:val="FSBullet2"/>
        <w:numPr>
          <w:ilvl w:val="0"/>
          <w:numId w:val="27"/>
        </w:numPr>
      </w:pPr>
      <w:r>
        <w:t>Require d</w:t>
      </w:r>
      <w:r w:rsidR="00DE0684">
        <w:t>eclaration of</w:t>
      </w:r>
      <w:r w:rsidR="00974485">
        <w:t xml:space="preserve"> the average quantity per serving of each electrolyte present (in mg with additional use of millimoles optional)</w:t>
      </w:r>
      <w:r w:rsidR="0035417A">
        <w:t xml:space="preserve"> if a nutrition content or health claim is made about </w:t>
      </w:r>
      <w:r w:rsidR="00DE0684">
        <w:t xml:space="preserve">prescribed </w:t>
      </w:r>
      <w:r w:rsidR="0035417A">
        <w:t>electrolytes</w:t>
      </w:r>
      <w:r w:rsidR="00DE0684">
        <w:t>.</w:t>
      </w:r>
    </w:p>
    <w:p w14:paraId="2946A57D" w14:textId="2D85C3CA" w:rsidR="0035417A" w:rsidRDefault="00BE36A9" w:rsidP="005F4214">
      <w:pPr>
        <w:pStyle w:val="FSBullet2"/>
        <w:numPr>
          <w:ilvl w:val="0"/>
          <w:numId w:val="27"/>
        </w:numPr>
      </w:pPr>
      <w:r>
        <w:t>Not apply t</w:t>
      </w:r>
      <w:r w:rsidR="0035417A">
        <w:t xml:space="preserve">he requirements in </w:t>
      </w:r>
      <w:r w:rsidR="0035417A" w:rsidRPr="00543040">
        <w:t>paragraph 1.2.8—14(1)(b), and therefore Schedule 13</w:t>
      </w:r>
      <w:r w:rsidR="0035417A">
        <w:t xml:space="preserve"> for nutrition content and health claims about electrolytes on electrolyte drinks sold in a small package</w:t>
      </w:r>
      <w:r w:rsidR="00DE0684">
        <w:t xml:space="preserve">. This </w:t>
      </w:r>
      <w:r w:rsidR="001C2DA1">
        <w:t>included</w:t>
      </w:r>
      <w:r w:rsidR="00DE0684">
        <w:t xml:space="preserve"> the requirements in Schedule 13 to declare, for example:</w:t>
      </w:r>
    </w:p>
    <w:p w14:paraId="50769981" w14:textId="77777777" w:rsidR="006A6679" w:rsidRPr="00BE36A9" w:rsidDel="00E0258A" w:rsidRDefault="006A6679" w:rsidP="00BE36A9">
      <w:pPr>
        <w:pStyle w:val="FSBullet2"/>
        <w:ind w:left="851" w:hanging="425"/>
      </w:pPr>
      <w:r w:rsidRPr="00DE0684" w:rsidDel="00E0258A">
        <w:t xml:space="preserve">the %RDI of </w:t>
      </w:r>
      <w:r w:rsidRPr="00BE36A9" w:rsidDel="00E0258A">
        <w:t xml:space="preserve">minerals (calcium and magnesium) </w:t>
      </w:r>
    </w:p>
    <w:p w14:paraId="70EBB8E9" w14:textId="77777777" w:rsidR="006A6679" w:rsidRPr="00BE36A9" w:rsidDel="00E0258A" w:rsidRDefault="006A6679" w:rsidP="00BE36A9">
      <w:pPr>
        <w:pStyle w:val="FSBullet2"/>
        <w:ind w:left="851" w:hanging="425"/>
      </w:pPr>
      <w:r w:rsidRPr="00BE36A9" w:rsidDel="00E0258A">
        <w:t>potassium when a claim about sodium is made</w:t>
      </w:r>
    </w:p>
    <w:p w14:paraId="1E21B4B0" w14:textId="2550026A" w:rsidR="006A6679" w:rsidRPr="006A6679" w:rsidRDefault="006A6679" w:rsidP="00BE36A9">
      <w:pPr>
        <w:pStyle w:val="FSBullet2"/>
        <w:ind w:left="851" w:hanging="425"/>
      </w:pPr>
      <w:r w:rsidRPr="00BE36A9" w:rsidDel="00E0258A">
        <w:t>sodium when a</w:t>
      </w:r>
      <w:r w:rsidRPr="006A6679" w:rsidDel="00E0258A">
        <w:t xml:space="preserve"> claim about potassium is made</w:t>
      </w:r>
      <w:r w:rsidR="001C2DA1">
        <w:t xml:space="preserve">. </w:t>
      </w:r>
      <w:r w:rsidRPr="006A6679" w:rsidDel="00E0258A">
        <w:t xml:space="preserve"> </w:t>
      </w:r>
    </w:p>
    <w:p w14:paraId="62EA86F6" w14:textId="693E611C" w:rsidR="00525B83" w:rsidRDefault="00D61DEE" w:rsidP="00223764">
      <w:pPr>
        <w:widowControl/>
        <w:spacing w:before="120" w:after="120"/>
      </w:pPr>
      <w:r>
        <w:t xml:space="preserve">FSANZ’s </w:t>
      </w:r>
      <w:r w:rsidR="00525B83">
        <w:t xml:space="preserve">rationale for the above </w:t>
      </w:r>
      <w:r w:rsidR="00120F3B">
        <w:t xml:space="preserve">approach </w:t>
      </w:r>
      <w:r w:rsidR="005301E0">
        <w:t xml:space="preserve">is detailed in </w:t>
      </w:r>
      <w:r w:rsidR="00310A40">
        <w:t>S</w:t>
      </w:r>
      <w:r w:rsidR="005301E0">
        <w:t>ection 2.3.7.2 of the 2021 Consultation Paper</w:t>
      </w:r>
      <w:r w:rsidR="00120F3B">
        <w:t xml:space="preserve">. </w:t>
      </w:r>
    </w:p>
    <w:p w14:paraId="112506FB" w14:textId="77777777" w:rsidR="005301E0" w:rsidRDefault="009C2D2B" w:rsidP="00223764">
      <w:pPr>
        <w:widowControl/>
        <w:spacing w:before="120" w:after="120"/>
      </w:pPr>
      <w:r>
        <w:t xml:space="preserve">The majority of submitters </w:t>
      </w:r>
      <w:r w:rsidR="00D61DEE">
        <w:t xml:space="preserve">in 2021 </w:t>
      </w:r>
      <w:r>
        <w:t xml:space="preserve">supported the approach </w:t>
      </w:r>
      <w:r w:rsidRPr="00223764">
        <w:t xml:space="preserve">for nutrition information requirements </w:t>
      </w:r>
      <w:r>
        <w:t xml:space="preserve">as proposed in the Consultation </w:t>
      </w:r>
      <w:r w:rsidR="001172E9">
        <w:t>P</w:t>
      </w:r>
      <w:r>
        <w:t xml:space="preserve">aper. </w:t>
      </w:r>
    </w:p>
    <w:p w14:paraId="64734A70" w14:textId="77777777" w:rsidR="005301E0" w:rsidRPr="00CC5CFF" w:rsidRDefault="005301E0" w:rsidP="009C2D2B">
      <w:pPr>
        <w:rPr>
          <w:i/>
        </w:rPr>
      </w:pPr>
      <w:r w:rsidRPr="00CC5CFF">
        <w:rPr>
          <w:i/>
        </w:rPr>
        <w:t>FSANZ’s decision</w:t>
      </w:r>
    </w:p>
    <w:p w14:paraId="065E12D5" w14:textId="577C9240" w:rsidR="009C2D2B" w:rsidRPr="00223764" w:rsidRDefault="005301E0" w:rsidP="00223764">
      <w:pPr>
        <w:widowControl/>
        <w:spacing w:before="120" w:after="120"/>
      </w:pPr>
      <w:r>
        <w:t>After consideration of submission</w:t>
      </w:r>
      <w:r w:rsidR="00370621">
        <w:t>s</w:t>
      </w:r>
      <w:r>
        <w:t xml:space="preserve">, and for the reasons </w:t>
      </w:r>
      <w:r w:rsidR="00CC5CFF">
        <w:t>stated in the 2021 Consultation Paper</w:t>
      </w:r>
      <w:r>
        <w:t xml:space="preserve">, </w:t>
      </w:r>
      <w:r w:rsidR="009C2D2B" w:rsidRPr="00223764">
        <w:t xml:space="preserve">FSANZ decided to maintain </w:t>
      </w:r>
      <w:r w:rsidRPr="00223764">
        <w:t xml:space="preserve">the </w:t>
      </w:r>
      <w:r w:rsidR="009C2D2B" w:rsidRPr="00223764">
        <w:t xml:space="preserve">approach as outlined above. </w:t>
      </w:r>
    </w:p>
    <w:p w14:paraId="410B4372" w14:textId="38C99D16" w:rsidR="00305CF1" w:rsidRPr="00223764" w:rsidRDefault="000D5A80" w:rsidP="006339BD">
      <w:pPr>
        <w:pStyle w:val="Heading4"/>
        <w:rPr>
          <w:rFonts w:eastAsia="Calibri"/>
        </w:rPr>
      </w:pPr>
      <w:r>
        <w:rPr>
          <w:rFonts w:eastAsia="Calibri"/>
        </w:rPr>
        <w:t>2.</w:t>
      </w:r>
      <w:r w:rsidR="00C76679">
        <w:rPr>
          <w:rFonts w:eastAsia="Calibri"/>
        </w:rPr>
        <w:t>4</w:t>
      </w:r>
      <w:r>
        <w:rPr>
          <w:rFonts w:eastAsia="Calibri"/>
        </w:rPr>
        <w:t>.5.3</w:t>
      </w:r>
      <w:r w:rsidRPr="000735DD">
        <w:rPr>
          <w:rFonts w:eastAsia="Calibri"/>
        </w:rPr>
        <w:t xml:space="preserve"> </w:t>
      </w:r>
      <w:r w:rsidRPr="000735DD">
        <w:rPr>
          <w:rFonts w:eastAsia="Calibri"/>
        </w:rPr>
        <w:tab/>
      </w:r>
      <w:r>
        <w:rPr>
          <w:rFonts w:eastAsia="Calibri"/>
        </w:rPr>
        <w:t>Nutrition content claims</w:t>
      </w:r>
    </w:p>
    <w:p w14:paraId="20D5288B" w14:textId="77777777" w:rsidR="005301E0" w:rsidRPr="0034053B" w:rsidRDefault="005301E0" w:rsidP="005301E0">
      <w:pPr>
        <w:pStyle w:val="FSBullet2"/>
        <w:numPr>
          <w:ilvl w:val="0"/>
          <w:numId w:val="0"/>
        </w:numPr>
        <w:rPr>
          <w:i/>
        </w:rPr>
      </w:pPr>
      <w:r w:rsidRPr="0034053B">
        <w:rPr>
          <w:i/>
        </w:rPr>
        <w:t>Current requirements</w:t>
      </w:r>
    </w:p>
    <w:p w14:paraId="312E06AF" w14:textId="77777777" w:rsidR="005301E0" w:rsidRDefault="00BC44BB" w:rsidP="00BC44BB">
      <w:pPr>
        <w:widowControl/>
        <w:spacing w:before="120" w:after="120"/>
      </w:pPr>
      <w:r>
        <w:t>N</w:t>
      </w:r>
      <w:r w:rsidRPr="00FB3E58">
        <w:t xml:space="preserve">utrition content claims </w:t>
      </w:r>
      <w:r>
        <w:t xml:space="preserve">about electrolyte drinks can currently be made </w:t>
      </w:r>
      <w:r w:rsidRPr="00FB3E58">
        <w:t>in accordance with Standard 1.2.7.</w:t>
      </w:r>
      <w:r>
        <w:t xml:space="preserve"> </w:t>
      </w:r>
    </w:p>
    <w:p w14:paraId="6D6908E9" w14:textId="77777777" w:rsidR="005301E0" w:rsidRPr="0034053B" w:rsidRDefault="005301E0" w:rsidP="005301E0">
      <w:pPr>
        <w:rPr>
          <w:rFonts w:eastAsia="Calibri"/>
          <w:i/>
        </w:rPr>
      </w:pPr>
      <w:r w:rsidRPr="0034053B">
        <w:rPr>
          <w:rFonts w:eastAsia="Calibri"/>
          <w:i/>
        </w:rPr>
        <w:t>Proposed approach in 2014</w:t>
      </w:r>
    </w:p>
    <w:p w14:paraId="77DC04F7" w14:textId="1E5AA3EE" w:rsidR="00BC44BB" w:rsidRDefault="00BC44BB" w:rsidP="00BC44BB">
      <w:pPr>
        <w:widowControl/>
        <w:spacing w:before="120" w:after="120"/>
      </w:pPr>
      <w:r w:rsidRPr="00FB3E58">
        <w:t>No changes were proposed to the regulation of nutrition content claims for</w:t>
      </w:r>
      <w:r>
        <w:t xml:space="preserve"> electrolyte drinks in 2014</w:t>
      </w:r>
      <w:r w:rsidRPr="00FB3E58">
        <w:t xml:space="preserve">. </w:t>
      </w:r>
    </w:p>
    <w:p w14:paraId="5EDB22E8" w14:textId="5C86C691" w:rsidR="00BC44BB" w:rsidRDefault="00BC44BB" w:rsidP="00BC44BB">
      <w:r>
        <w:t xml:space="preserve">One submitter </w:t>
      </w:r>
      <w:r w:rsidR="005301E0">
        <w:t xml:space="preserve">in 2014 </w:t>
      </w:r>
      <w:r>
        <w:t xml:space="preserve">commented that </w:t>
      </w:r>
      <w:r w:rsidRPr="00CB64C0">
        <w:t xml:space="preserve">nutrition content claims </w:t>
      </w:r>
      <w:r>
        <w:t xml:space="preserve">(and health claims) </w:t>
      </w:r>
      <w:r w:rsidRPr="00CB64C0">
        <w:t>have been used by food companies as marketing tools to increase sales and market share.</w:t>
      </w:r>
      <w:r>
        <w:t xml:space="preserve"> Another submitter </w:t>
      </w:r>
      <w:r w:rsidR="005301E0">
        <w:t xml:space="preserve">at that time </w:t>
      </w:r>
      <w:r>
        <w:t xml:space="preserve">suggested including a </w:t>
      </w:r>
      <w:r w:rsidRPr="00CB64C0">
        <w:t xml:space="preserve">pre-approved nutrition content claim </w:t>
      </w:r>
      <w:r>
        <w:t>for</w:t>
      </w:r>
      <w:r w:rsidRPr="00CB64C0">
        <w:t xml:space="preserve"> electrolytes to </w:t>
      </w:r>
      <w:r>
        <w:t xml:space="preserve">proactively clarify the use of </w:t>
      </w:r>
      <w:r w:rsidRPr="00CB64C0">
        <w:t xml:space="preserve">the term </w:t>
      </w:r>
      <w:r>
        <w:t>‘</w:t>
      </w:r>
      <w:r w:rsidRPr="00CB64C0">
        <w:t>electrolyte</w:t>
      </w:r>
      <w:r>
        <w:t>’</w:t>
      </w:r>
      <w:r w:rsidRPr="00CB64C0">
        <w:t xml:space="preserve"> on product</w:t>
      </w:r>
      <w:r>
        <w:t>s</w:t>
      </w:r>
      <w:r w:rsidRPr="00CB64C0">
        <w:t xml:space="preserve"> and set appropriate conditions </w:t>
      </w:r>
      <w:r>
        <w:t>for its use</w:t>
      </w:r>
      <w:r w:rsidR="005301E0">
        <w:t>.</w:t>
      </w:r>
    </w:p>
    <w:p w14:paraId="717B1BFE" w14:textId="77777777" w:rsidR="00BC44BB" w:rsidRDefault="00BC44BB" w:rsidP="00BC44BB"/>
    <w:p w14:paraId="6CFB7238" w14:textId="70DA63FE" w:rsidR="005301E0" w:rsidRPr="0034053B" w:rsidRDefault="005301E0" w:rsidP="005301E0">
      <w:pPr>
        <w:rPr>
          <w:rFonts w:eastAsia="Calibri"/>
          <w:i/>
        </w:rPr>
      </w:pPr>
      <w:r w:rsidRPr="0034053B">
        <w:rPr>
          <w:rFonts w:eastAsia="Calibri"/>
          <w:i/>
        </w:rPr>
        <w:t xml:space="preserve">Proposed approach </w:t>
      </w:r>
      <w:r>
        <w:rPr>
          <w:rFonts w:eastAsia="Calibri"/>
          <w:i/>
        </w:rPr>
        <w:t>and amendments in 2021</w:t>
      </w:r>
    </w:p>
    <w:p w14:paraId="0DB7CF0D" w14:textId="522EB213" w:rsidR="00930D16" w:rsidRPr="00930D16" w:rsidRDefault="004B7F84" w:rsidP="00223764">
      <w:pPr>
        <w:widowControl/>
        <w:spacing w:before="120" w:after="120"/>
      </w:pPr>
      <w:r w:rsidRPr="00223764">
        <w:t xml:space="preserve">In the 2021 Consultation </w:t>
      </w:r>
      <w:r w:rsidR="001172E9" w:rsidRPr="00223764">
        <w:t>P</w:t>
      </w:r>
      <w:r w:rsidRPr="00223764">
        <w:t xml:space="preserve">aper, FSANZ proposed </w:t>
      </w:r>
      <w:r w:rsidR="00EF1F52" w:rsidRPr="00223764">
        <w:t>prohibit</w:t>
      </w:r>
      <w:r w:rsidRPr="00223764">
        <w:t>ing</w:t>
      </w:r>
      <w:r w:rsidR="00EF1F52" w:rsidRPr="00223764">
        <w:t xml:space="preserve"> all nutrition content claims about electrolyte drinks except for claims about</w:t>
      </w:r>
      <w:r w:rsidR="005301E0" w:rsidRPr="00223764">
        <w:t>:</w:t>
      </w:r>
      <w:r w:rsidR="00EF1F52" w:rsidRPr="00223764">
        <w:t xml:space="preserve"> carbohydrate</w:t>
      </w:r>
      <w:r w:rsidR="005301E0" w:rsidRPr="00223764">
        <w:t xml:space="preserve">; </w:t>
      </w:r>
      <w:r w:rsidR="00EF1F52" w:rsidRPr="00223764">
        <w:t>sugar or sugars</w:t>
      </w:r>
      <w:r w:rsidR="005301E0" w:rsidRPr="00223764">
        <w:t xml:space="preserve">; </w:t>
      </w:r>
      <w:r w:rsidR="00EF1F52" w:rsidRPr="00223764">
        <w:t>energy</w:t>
      </w:r>
      <w:r w:rsidR="005301E0" w:rsidRPr="00223764">
        <w:t>;</w:t>
      </w:r>
      <w:r w:rsidR="00EF1F52" w:rsidRPr="00223764">
        <w:t xml:space="preserve"> or the presence of one or more prescribed electrolytes (calcium, sodium, magnesium, potassium and chloride).</w:t>
      </w:r>
      <w:r w:rsidR="005301E0">
        <w:t xml:space="preserve"> As stated in </w:t>
      </w:r>
      <w:r w:rsidR="00E447FE">
        <w:t>Section 2.3.4.2 of the Consultation Paper</w:t>
      </w:r>
      <w:r w:rsidR="005301E0">
        <w:t>, the</w:t>
      </w:r>
      <w:r w:rsidR="005301E0" w:rsidRPr="00930D16">
        <w:t xml:space="preserve"> </w:t>
      </w:r>
      <w:r w:rsidR="00930D16" w:rsidRPr="00930D16">
        <w:t xml:space="preserve">rationale for this approach </w:t>
      </w:r>
      <w:r w:rsidR="00930D16">
        <w:t xml:space="preserve">was </w:t>
      </w:r>
      <w:r w:rsidR="00930D16" w:rsidRPr="00930D16">
        <w:t xml:space="preserve">to limit nutrition content claims to those associated with the intended purpose and </w:t>
      </w:r>
      <w:r w:rsidR="00020D8C">
        <w:t>prescribed</w:t>
      </w:r>
      <w:r w:rsidR="00930D16" w:rsidRPr="00930D16">
        <w:t xml:space="preserve"> composition of electrolyte drinks</w:t>
      </w:r>
      <w:r w:rsidR="00A64875">
        <w:t>,</w:t>
      </w:r>
      <w:r w:rsidR="00930D16">
        <w:t xml:space="preserve"> and to reduce </w:t>
      </w:r>
      <w:r w:rsidR="00930D16" w:rsidRPr="00930D16">
        <w:t xml:space="preserve">the potential to </w:t>
      </w:r>
      <w:r w:rsidR="00930D16" w:rsidRPr="00930D16">
        <w:lastRenderedPageBreak/>
        <w:t>mislead consumers about the purpose and place of electrolyte drinks in the diet</w:t>
      </w:r>
      <w:r w:rsidR="00930D16">
        <w:t xml:space="preserve">. The approach also </w:t>
      </w:r>
      <w:r w:rsidR="00930D16" w:rsidRPr="00930D16">
        <w:t>align</w:t>
      </w:r>
      <w:r w:rsidR="00930D16">
        <w:t>ed</w:t>
      </w:r>
      <w:r w:rsidR="00930D16" w:rsidRPr="00930D16">
        <w:t xml:space="preserve"> with th</w:t>
      </w:r>
      <w:r w:rsidR="00930D16">
        <w:t xml:space="preserve">at proposed </w:t>
      </w:r>
      <w:r w:rsidR="00930D16" w:rsidRPr="00930D16">
        <w:t>for health claims</w:t>
      </w:r>
      <w:r w:rsidR="004E072F">
        <w:t xml:space="preserve">, that is to only </w:t>
      </w:r>
      <w:r w:rsidR="004E072F" w:rsidRPr="00223764">
        <w:t>permit electrolyte drinks to carry health claims relating to their intended purpose</w:t>
      </w:r>
      <w:r w:rsidR="00930D16" w:rsidRPr="00930D16">
        <w:t>.</w:t>
      </w:r>
    </w:p>
    <w:p w14:paraId="48BA455C" w14:textId="2D73B3BC" w:rsidR="001E27FC" w:rsidRPr="00223764" w:rsidRDefault="00A313C0" w:rsidP="00223764">
      <w:pPr>
        <w:widowControl/>
        <w:spacing w:before="120" w:after="120"/>
      </w:pPr>
      <w:r w:rsidRPr="00223764">
        <w:t xml:space="preserve">Submitters </w:t>
      </w:r>
      <w:r w:rsidR="005301E0" w:rsidRPr="00223764">
        <w:t xml:space="preserve">in 2021 </w:t>
      </w:r>
      <w:r w:rsidRPr="00223764">
        <w:t>were split in their views on the proposed approach</w:t>
      </w:r>
      <w:r w:rsidR="001E27FC" w:rsidRPr="00223764">
        <w:t>.</w:t>
      </w:r>
      <w:r w:rsidR="004B7F84" w:rsidRPr="00223764">
        <w:t xml:space="preserve"> </w:t>
      </w:r>
      <w:r w:rsidR="00EF1F52" w:rsidRPr="00223764">
        <w:t>A number of submitters raised concern that the approach for nutrition content claims is overly restrictive</w:t>
      </w:r>
      <w:r w:rsidR="0099409E" w:rsidRPr="00223764">
        <w:t xml:space="preserve"> and</w:t>
      </w:r>
      <w:r w:rsidR="00EF1F52" w:rsidRPr="00223764">
        <w:t xml:space="preserve"> will hamper innovation. </w:t>
      </w:r>
      <w:r w:rsidR="001E27FC" w:rsidRPr="00223764">
        <w:t>Other submitters support</w:t>
      </w:r>
      <w:r w:rsidR="00D6221C" w:rsidRPr="00223764">
        <w:t>ed</w:t>
      </w:r>
      <w:r w:rsidR="001E27FC" w:rsidRPr="00223764">
        <w:t xml:space="preserve"> the approach </w:t>
      </w:r>
      <w:r w:rsidRPr="00223764">
        <w:t xml:space="preserve">to restrict nutrition content claims in line with their intended purpose. </w:t>
      </w:r>
      <w:r w:rsidR="005301E0" w:rsidRPr="00223764">
        <w:t>See Table 1 above.</w:t>
      </w:r>
    </w:p>
    <w:p w14:paraId="70D453BE" w14:textId="77777777" w:rsidR="005301E0" w:rsidRPr="00CC5CFF" w:rsidRDefault="005301E0" w:rsidP="00CB6DE8">
      <w:pPr>
        <w:rPr>
          <w:i/>
          <w:szCs w:val="22"/>
        </w:rPr>
      </w:pPr>
      <w:r w:rsidRPr="00CC5CFF">
        <w:rPr>
          <w:i/>
          <w:szCs w:val="22"/>
        </w:rPr>
        <w:t>FSANZ’s decision</w:t>
      </w:r>
    </w:p>
    <w:p w14:paraId="23750582" w14:textId="2EAAF0CF" w:rsidR="001E768D" w:rsidRPr="00223764" w:rsidRDefault="005301E0" w:rsidP="00223764">
      <w:pPr>
        <w:widowControl/>
        <w:spacing w:before="120" w:after="120"/>
      </w:pPr>
      <w:r w:rsidRPr="00223764">
        <w:t>After consideration of submissions</w:t>
      </w:r>
      <w:r w:rsidR="004E072F" w:rsidRPr="00223764">
        <w:t xml:space="preserve">, </w:t>
      </w:r>
      <w:r w:rsidR="004B7F84" w:rsidRPr="00223764">
        <w:t xml:space="preserve">FSANZ decided to maintain the approach in the Consultation </w:t>
      </w:r>
      <w:r w:rsidR="001172E9" w:rsidRPr="00223764">
        <w:t>P</w:t>
      </w:r>
      <w:r w:rsidR="004B7F84" w:rsidRPr="00223764">
        <w:t xml:space="preserve">aper for nutrition content </w:t>
      </w:r>
      <w:r w:rsidR="004A23BA" w:rsidRPr="00223764">
        <w:t>claims</w:t>
      </w:r>
      <w:r w:rsidR="001E768D" w:rsidRPr="00223764">
        <w:t xml:space="preserve"> for the reasons stated in the Consultation Paper</w:t>
      </w:r>
      <w:r w:rsidR="004A23BA" w:rsidRPr="00223764">
        <w:t xml:space="preserve">. </w:t>
      </w:r>
      <w:r w:rsidR="00020D8C" w:rsidRPr="00223764">
        <w:t>That is</w:t>
      </w:r>
      <w:r w:rsidRPr="00223764">
        <w:t>,</w:t>
      </w:r>
      <w:r w:rsidR="00020D8C" w:rsidRPr="00223764">
        <w:t xml:space="preserve"> to limit nutrition content claims about electrolyte drinks to only claims about carbohydrate, sugar or sugars, energy or the presence of one or more prescribed electrolytes. </w:t>
      </w:r>
    </w:p>
    <w:p w14:paraId="26791D72" w14:textId="4D59DA74" w:rsidR="00346123" w:rsidRDefault="00020D8C" w:rsidP="00223764">
      <w:pPr>
        <w:widowControl/>
        <w:spacing w:before="120" w:after="120"/>
      </w:pPr>
      <w:r>
        <w:t xml:space="preserve">The permission for sugar/s claims </w:t>
      </w:r>
      <w:r w:rsidR="002E7D69">
        <w:t>will</w:t>
      </w:r>
      <w:r>
        <w:t xml:space="preserve"> allow for ‘reduced sugar’ type claims, noting the compositional approach to reduce the minimum carbohydrate content in electrolyte drinks as discussed in </w:t>
      </w:r>
      <w:r w:rsidR="00120F3B">
        <w:t>S</w:t>
      </w:r>
      <w:r>
        <w:t>ection 2.3.3.1</w:t>
      </w:r>
      <w:r w:rsidR="00120F3B">
        <w:t xml:space="preserve"> above</w:t>
      </w:r>
      <w:r>
        <w:t>. Further</w:t>
      </w:r>
      <w:r w:rsidR="001E768D">
        <w:t xml:space="preserve">, as explained </w:t>
      </w:r>
      <w:r w:rsidR="00310A40">
        <w:t xml:space="preserve">in Section 2.3.3.5 </w:t>
      </w:r>
      <w:r w:rsidR="001E768D">
        <w:t>above, s</w:t>
      </w:r>
      <w:r w:rsidR="00346123">
        <w:t>ection 1.1.1- 10 appl</w:t>
      </w:r>
      <w:r w:rsidR="001E768D">
        <w:t>ies</w:t>
      </w:r>
      <w:r w:rsidR="00346123">
        <w:t xml:space="preserve"> to electrolyte drinks </w:t>
      </w:r>
      <w:r w:rsidR="001E768D">
        <w:t xml:space="preserve">to </w:t>
      </w:r>
      <w:r w:rsidR="00346123">
        <w:t xml:space="preserve">prohibit the addition of nutritive substances unless expressly permitted. Therefore if </w:t>
      </w:r>
      <w:r w:rsidR="00C62829">
        <w:t xml:space="preserve">in the future </w:t>
      </w:r>
      <w:r w:rsidR="002E7D69">
        <w:t xml:space="preserve">there is </w:t>
      </w:r>
      <w:r w:rsidR="00346123">
        <w:t xml:space="preserve">a change to the prescribed composition </w:t>
      </w:r>
      <w:r w:rsidR="002E7D69">
        <w:t xml:space="preserve">of electrolyte drinks </w:t>
      </w:r>
      <w:r w:rsidR="00346123">
        <w:t xml:space="preserve">by allowing the addition of </w:t>
      </w:r>
      <w:r w:rsidR="00FA49A7">
        <w:t>other</w:t>
      </w:r>
      <w:r w:rsidR="00346123">
        <w:t xml:space="preserve"> nutritive substance</w:t>
      </w:r>
      <w:r w:rsidR="00FA49A7">
        <w:t>s</w:t>
      </w:r>
      <w:r w:rsidR="00C62829">
        <w:t>,</w:t>
      </w:r>
      <w:r w:rsidR="00346123">
        <w:t xml:space="preserve"> </w:t>
      </w:r>
      <w:r w:rsidR="00FA49A7">
        <w:t xml:space="preserve">additional nutrition content claim permissions </w:t>
      </w:r>
      <w:r w:rsidR="00346123">
        <w:t>can be considered at this time.</w:t>
      </w:r>
    </w:p>
    <w:p w14:paraId="355E3133" w14:textId="6CFA81EC" w:rsidR="004938C3" w:rsidRPr="00EF1F52" w:rsidRDefault="00CB6DE8" w:rsidP="00223764">
      <w:pPr>
        <w:widowControl/>
        <w:spacing w:before="120" w:after="120"/>
      </w:pPr>
      <w:r w:rsidRPr="00223764">
        <w:t xml:space="preserve">Nutrition content claims about carbohydrate, sugar and sugars, and energy will have to comply with the applicable conditions in Standard 1.2.7 and Schedule 4. </w:t>
      </w:r>
      <w:r w:rsidR="001E0189">
        <w:t>F</w:t>
      </w:r>
      <w:r w:rsidR="00361AC7">
        <w:t xml:space="preserve">or </w:t>
      </w:r>
      <w:r w:rsidR="00361AC7" w:rsidRPr="00EF1F52">
        <w:t>nutrition content claims about prescribed electrolytes</w:t>
      </w:r>
      <w:r w:rsidR="00361AC7">
        <w:t xml:space="preserve"> </w:t>
      </w:r>
      <w:r w:rsidR="001E0189" w:rsidRPr="001E0189">
        <w:t xml:space="preserve">(calcium, sodium, magnesium, potassium and chloride) </w:t>
      </w:r>
      <w:r w:rsidR="00361AC7">
        <w:t>t</w:t>
      </w:r>
      <w:r w:rsidRPr="00EF1F52">
        <w:t xml:space="preserve">he conditions in Standard 1.2.7 and Schedule 4 </w:t>
      </w:r>
      <w:r w:rsidR="001172E9">
        <w:t>will</w:t>
      </w:r>
      <w:r w:rsidR="001172E9" w:rsidRPr="00EF1F52">
        <w:t xml:space="preserve"> </w:t>
      </w:r>
      <w:r w:rsidRPr="00EF1F52">
        <w:t>not apply.</w:t>
      </w:r>
      <w:r w:rsidR="004938C3">
        <w:t xml:space="preserve"> </w:t>
      </w:r>
      <w:r w:rsidR="004938C3" w:rsidRPr="00223764">
        <w:t xml:space="preserve">The conditions for magnesium and calcium claims as minerals in Schedule 4 are not considered appropriate as these are based on a </w:t>
      </w:r>
      <w:r w:rsidR="001172E9" w:rsidRPr="00223764">
        <w:t>RDI</w:t>
      </w:r>
      <w:r w:rsidR="004938C3" w:rsidRPr="00223764">
        <w:t xml:space="preserve"> which is not relevant to the function of magnesium or calcium as an electrolyte in electrolyte drinks. Similarly, the conditions in Schedule 4 for nutrition content claims about sodium are not applicable as they are for the purposes of low or lower sodium claims rather than the function of sodium as an electrolyte. </w:t>
      </w:r>
    </w:p>
    <w:p w14:paraId="2C506515" w14:textId="12D2D384" w:rsidR="00EF1F52" w:rsidRPr="00223764" w:rsidRDefault="00EF1F52" w:rsidP="00223764">
      <w:pPr>
        <w:widowControl/>
        <w:spacing w:before="120" w:after="120"/>
      </w:pPr>
      <w:r w:rsidRPr="00EF1F52">
        <w:t>Nutrition content claims about the presence of prescribed electrolytes</w:t>
      </w:r>
      <w:r w:rsidR="00CC5CFF">
        <w:t xml:space="preserve"> will be permitted</w:t>
      </w:r>
      <w:r w:rsidRPr="00EF1F52">
        <w:t xml:space="preserve"> and can refer</w:t>
      </w:r>
      <w:r w:rsidR="00CC5CFF">
        <w:t xml:space="preserve"> either</w:t>
      </w:r>
      <w:r w:rsidRPr="00EF1F52">
        <w:t xml:space="preserve"> to electrolytes generally, for example ‘contains electrolytes’</w:t>
      </w:r>
      <w:r w:rsidR="00CC5CFF">
        <w:t>,</w:t>
      </w:r>
      <w:r w:rsidRPr="00EF1F52">
        <w:t xml:space="preserve"> or to individual prescribed electrolyte(s), for example, ‘contains the electrolytes: calcium and sodium’. For a nutrition content claim about individual prescribed electrolytes, the claim </w:t>
      </w:r>
      <w:r w:rsidR="001172E9">
        <w:t>will</w:t>
      </w:r>
      <w:r w:rsidR="001172E9" w:rsidRPr="00EF1F52">
        <w:t xml:space="preserve"> </w:t>
      </w:r>
      <w:r w:rsidRPr="00EF1F52">
        <w:t xml:space="preserve">also have to state that they are ‘electrolytes’ as in the above example. This is intended </w:t>
      </w:r>
      <w:r w:rsidRPr="00A41070">
        <w:t xml:space="preserve">to inform consumers about their function in the body as electrolytes rather than as minerals </w:t>
      </w:r>
      <w:r w:rsidRPr="00773FB7">
        <w:t xml:space="preserve">(see Section </w:t>
      </w:r>
      <w:r w:rsidR="001D14D6" w:rsidRPr="00773FB7">
        <w:t>2.3.5.2</w:t>
      </w:r>
      <w:r w:rsidRPr="00773FB7">
        <w:t xml:space="preserve"> for requirements for the declarations of electrolytes in the </w:t>
      </w:r>
      <w:r w:rsidR="001172E9">
        <w:t>NIP</w:t>
      </w:r>
      <w:r w:rsidRPr="00773FB7">
        <w:t>).</w:t>
      </w:r>
      <w:r w:rsidRPr="00A41070">
        <w:t xml:space="preserve"> </w:t>
      </w:r>
    </w:p>
    <w:p w14:paraId="5B461E03" w14:textId="635F7C0C" w:rsidR="000D5A80" w:rsidRPr="000735DD" w:rsidRDefault="00C76679" w:rsidP="006339BD">
      <w:pPr>
        <w:pStyle w:val="Heading4"/>
        <w:rPr>
          <w:rFonts w:eastAsia="Calibri"/>
        </w:rPr>
      </w:pPr>
      <w:r>
        <w:rPr>
          <w:rFonts w:eastAsia="Calibri"/>
        </w:rPr>
        <w:t>2.4</w:t>
      </w:r>
      <w:r w:rsidR="000D5A80">
        <w:rPr>
          <w:rFonts w:eastAsia="Calibri"/>
        </w:rPr>
        <w:t>.5.4</w:t>
      </w:r>
      <w:r w:rsidR="000D5A80" w:rsidRPr="000735DD">
        <w:rPr>
          <w:rFonts w:eastAsia="Calibri"/>
        </w:rPr>
        <w:t xml:space="preserve"> </w:t>
      </w:r>
      <w:r w:rsidR="000D5A80" w:rsidRPr="000735DD">
        <w:rPr>
          <w:rFonts w:eastAsia="Calibri"/>
        </w:rPr>
        <w:tab/>
      </w:r>
      <w:r w:rsidR="000D5A80">
        <w:rPr>
          <w:rFonts w:eastAsia="Calibri"/>
        </w:rPr>
        <w:t>Health claims</w:t>
      </w:r>
    </w:p>
    <w:p w14:paraId="2A782C80" w14:textId="77777777" w:rsidR="001E768D" w:rsidRPr="00B960FE" w:rsidRDefault="001E768D" w:rsidP="008D155E">
      <w:pPr>
        <w:rPr>
          <w:rFonts w:eastAsia="Calibri"/>
          <w:i/>
          <w:szCs w:val="22"/>
          <w:lang w:bidi="ar-SA"/>
        </w:rPr>
      </w:pPr>
      <w:r w:rsidRPr="00B960FE">
        <w:rPr>
          <w:rFonts w:eastAsia="Calibri"/>
          <w:i/>
          <w:szCs w:val="22"/>
          <w:lang w:bidi="ar-SA"/>
        </w:rPr>
        <w:t>Current requirements</w:t>
      </w:r>
    </w:p>
    <w:p w14:paraId="0F119174" w14:textId="7BD06BB3" w:rsidR="001E768D" w:rsidRDefault="001E768D" w:rsidP="00223764">
      <w:pPr>
        <w:widowControl/>
        <w:spacing w:before="120" w:after="120"/>
        <w:rPr>
          <w:rFonts w:eastAsia="Calibri"/>
          <w:szCs w:val="22"/>
          <w:lang w:bidi="ar-SA"/>
        </w:rPr>
      </w:pPr>
      <w:r>
        <w:t xml:space="preserve">Section 1.3.2 above explains the current requirements for health claims relating to electrolyte drinks. </w:t>
      </w:r>
    </w:p>
    <w:p w14:paraId="7A63A4DE" w14:textId="3DDB18E0" w:rsidR="001E768D" w:rsidRPr="00223764" w:rsidRDefault="001E768D" w:rsidP="001E768D">
      <w:pPr>
        <w:rPr>
          <w:rFonts w:eastAsia="Calibri"/>
          <w:i/>
          <w:szCs w:val="22"/>
          <w:lang w:bidi="ar-SA"/>
        </w:rPr>
      </w:pPr>
      <w:r w:rsidRPr="00223764">
        <w:rPr>
          <w:rFonts w:eastAsia="Calibri"/>
          <w:i/>
          <w:szCs w:val="22"/>
          <w:lang w:bidi="ar-SA"/>
        </w:rPr>
        <w:t>Proposed approach in 2014</w:t>
      </w:r>
    </w:p>
    <w:p w14:paraId="51031C41" w14:textId="4649B454" w:rsidR="001E768D" w:rsidRDefault="001E768D" w:rsidP="001E768D">
      <w:pPr>
        <w:widowControl/>
        <w:spacing w:before="120" w:after="120"/>
      </w:pPr>
      <w:r>
        <w:t xml:space="preserve">The draft variation prepared in 2014 </w:t>
      </w:r>
      <w:r w:rsidR="00655ED0">
        <w:t>would permit</w:t>
      </w:r>
      <w:r>
        <w:t xml:space="preserve"> electrolyte drinks </w:t>
      </w:r>
      <w:r w:rsidRPr="00D26D5D">
        <w:t xml:space="preserve">to carry health claims relating to their intended purpose </w:t>
      </w:r>
      <w:r>
        <w:t xml:space="preserve">(i.e. </w:t>
      </w:r>
      <w:r w:rsidRPr="00D26D5D">
        <w:t xml:space="preserve">to help with rapid replacement of fluid, </w:t>
      </w:r>
      <w:r>
        <w:t>carbohydrate</w:t>
      </w:r>
      <w:r w:rsidRPr="00D26D5D">
        <w:t xml:space="preserve"> and electrolytes</w:t>
      </w:r>
      <w:r>
        <w:t>)</w:t>
      </w:r>
      <w:r w:rsidRPr="00D26D5D">
        <w:t xml:space="preserve"> in accordance with the requirements in Standard 1.2.7, which allow</w:t>
      </w:r>
      <w:r>
        <w:t>ed</w:t>
      </w:r>
      <w:r w:rsidRPr="00D26D5D">
        <w:t xml:space="preserve"> for self-substantiated </w:t>
      </w:r>
      <w:r>
        <w:t xml:space="preserve">health </w:t>
      </w:r>
      <w:r w:rsidRPr="00D26D5D">
        <w:t>claims</w:t>
      </w:r>
      <w:r w:rsidR="00655ED0">
        <w:t xml:space="preserve">. Electrolyte drinks </w:t>
      </w:r>
      <w:r w:rsidR="00655ED0" w:rsidRPr="00450D4D">
        <w:t xml:space="preserve">carrying health claims </w:t>
      </w:r>
      <w:r w:rsidR="00655ED0">
        <w:t>would</w:t>
      </w:r>
      <w:r w:rsidR="00655ED0" w:rsidRPr="00450D4D">
        <w:t xml:space="preserve"> not </w:t>
      </w:r>
      <w:r w:rsidR="00655ED0">
        <w:t>be required to</w:t>
      </w:r>
      <w:r w:rsidR="00655ED0" w:rsidRPr="00450D4D">
        <w:t xml:space="preserve"> </w:t>
      </w:r>
      <w:r w:rsidR="00655ED0">
        <w:t>meet</w:t>
      </w:r>
      <w:r w:rsidR="00655ED0" w:rsidRPr="00450D4D">
        <w:t xml:space="preserve"> the </w:t>
      </w:r>
      <w:r w:rsidR="00655ED0">
        <w:t>NPSC</w:t>
      </w:r>
      <w:r w:rsidR="00655ED0" w:rsidRPr="00450D4D">
        <w:t>, consistent with the approach for special purpose foods</w:t>
      </w:r>
      <w:r w:rsidR="00655ED0">
        <w:t xml:space="preserve"> and the proposal at that time for electrolyte drinks to be regulated as a special purpose food by Standard 2.9.4 (see </w:t>
      </w:r>
      <w:r w:rsidR="00310A40">
        <w:t xml:space="preserve">Section 2.3.1 </w:t>
      </w:r>
      <w:r w:rsidR="00655ED0">
        <w:t xml:space="preserve">above). </w:t>
      </w:r>
      <w:r w:rsidRPr="00D26D5D">
        <w:t xml:space="preserve">The existing </w:t>
      </w:r>
      <w:r>
        <w:t xml:space="preserve">permitted </w:t>
      </w:r>
      <w:r w:rsidRPr="00D26D5D">
        <w:t>claim</w:t>
      </w:r>
      <w:r>
        <w:t xml:space="preserve"> referring to </w:t>
      </w:r>
      <w:r>
        <w:lastRenderedPageBreak/>
        <w:t>availability of energy and preventing or treating mild dehydration</w:t>
      </w:r>
      <w:r w:rsidRPr="00D26D5D">
        <w:t xml:space="preserve"> in </w:t>
      </w:r>
      <w:r>
        <w:t>subsection 2.6.2—12(3)</w:t>
      </w:r>
      <w:r w:rsidRPr="00D26D5D">
        <w:t xml:space="preserve"> for</w:t>
      </w:r>
      <w:r>
        <w:t xml:space="preserve"> isotonic electrolyte drinks </w:t>
      </w:r>
      <w:r w:rsidR="00655ED0">
        <w:t>was</w:t>
      </w:r>
      <w:r w:rsidRPr="00D26D5D">
        <w:t xml:space="preserve"> retained</w:t>
      </w:r>
      <w:r>
        <w:t>.</w:t>
      </w:r>
    </w:p>
    <w:p w14:paraId="2134632E" w14:textId="3B3CCDF4" w:rsidR="001E768D" w:rsidRPr="00B960FE" w:rsidRDefault="00655ED0" w:rsidP="00223764">
      <w:pPr>
        <w:widowControl/>
        <w:spacing w:before="120" w:after="120"/>
      </w:pPr>
      <w:r>
        <w:t xml:space="preserve">Submissions in 2014 were mixed. </w:t>
      </w:r>
      <w:r w:rsidR="001E768D">
        <w:t>Some supported the proposed approach or elements of the proposed approach, whereas oth</w:t>
      </w:r>
      <w:r>
        <w:t xml:space="preserve">ers </w:t>
      </w:r>
      <w:r w:rsidR="001E768D">
        <w:t>did not</w:t>
      </w:r>
      <w:r>
        <w:t xml:space="preserve">. Table 2 and </w:t>
      </w:r>
      <w:r w:rsidR="00EE7FFC">
        <w:t>S</w:t>
      </w:r>
      <w:r>
        <w:t>ection 2.3.5 of the 2021 Consultation Paper provide a summary of the issues and arguments raised by submitters. FSANZ ha</w:t>
      </w:r>
      <w:r w:rsidR="007E4044">
        <w:t>d</w:t>
      </w:r>
      <w:r>
        <w:t xml:space="preserve"> regard to these in making its decision in 2021.</w:t>
      </w:r>
    </w:p>
    <w:p w14:paraId="31467077" w14:textId="603A5AA7" w:rsidR="00655ED0" w:rsidRPr="00223764" w:rsidRDefault="00655ED0" w:rsidP="00655ED0">
      <w:pPr>
        <w:rPr>
          <w:rFonts w:eastAsia="Calibri"/>
          <w:i/>
          <w:szCs w:val="22"/>
          <w:lang w:bidi="ar-SA"/>
        </w:rPr>
      </w:pPr>
      <w:r w:rsidRPr="00223764">
        <w:rPr>
          <w:rFonts w:eastAsia="Calibri"/>
          <w:i/>
          <w:szCs w:val="22"/>
          <w:lang w:bidi="ar-SA"/>
        </w:rPr>
        <w:t>Proposed approach and amendments in 2021</w:t>
      </w:r>
    </w:p>
    <w:p w14:paraId="1F622A9E" w14:textId="77E19524" w:rsidR="00EF1F52" w:rsidRPr="00223764" w:rsidRDefault="002A430E" w:rsidP="00223764">
      <w:pPr>
        <w:widowControl/>
        <w:spacing w:before="120" w:after="120"/>
      </w:pPr>
      <w:r w:rsidRPr="00223764">
        <w:t>I</w:t>
      </w:r>
      <w:r w:rsidR="00EF1F52" w:rsidRPr="00223764">
        <w:t xml:space="preserve">n the 2021 </w:t>
      </w:r>
      <w:r w:rsidR="00E37027" w:rsidRPr="00223764">
        <w:t xml:space="preserve">Consultation </w:t>
      </w:r>
      <w:r w:rsidR="001172E9" w:rsidRPr="00223764">
        <w:t>P</w:t>
      </w:r>
      <w:r w:rsidR="00D906AD" w:rsidRPr="00223764">
        <w:t>aper</w:t>
      </w:r>
      <w:r w:rsidRPr="00223764">
        <w:t xml:space="preserve"> FSANZ proposed</w:t>
      </w:r>
      <w:r w:rsidR="00EF1F52" w:rsidRPr="00223764">
        <w:t xml:space="preserve"> to </w:t>
      </w:r>
      <w:r w:rsidR="003630F8">
        <w:t xml:space="preserve">prohibit health claims on electrolyte drinks other than for three specific claims. The proposed </w:t>
      </w:r>
      <w:r w:rsidR="00EF1F52" w:rsidRPr="00223764">
        <w:t xml:space="preserve">health claims </w:t>
      </w:r>
      <w:r w:rsidR="003630F8" w:rsidRPr="00223764">
        <w:t xml:space="preserve">for </w:t>
      </w:r>
      <w:r w:rsidR="00EF1F52" w:rsidRPr="00223764">
        <w:t xml:space="preserve">electrolyte drinks </w:t>
      </w:r>
      <w:r w:rsidR="0041098C" w:rsidRPr="00223764">
        <w:t xml:space="preserve">with an average osmolality of 200–340 mOsm/kg </w:t>
      </w:r>
      <w:r w:rsidR="003630F8" w:rsidRPr="00223764">
        <w:t>were</w:t>
      </w:r>
      <w:r w:rsidR="00EF1F52" w:rsidRPr="00223764">
        <w:t>:</w:t>
      </w:r>
    </w:p>
    <w:p w14:paraId="1409AA12" w14:textId="0569E19F" w:rsidR="00EF1F52" w:rsidRPr="00EF1F52" w:rsidRDefault="00EF1F52" w:rsidP="00EF1F52">
      <w:pPr>
        <w:pStyle w:val="FSBullet1"/>
      </w:pPr>
      <w:r w:rsidRPr="00EF1F52">
        <w:t xml:space="preserve">Rapid rehydration in association with words to the effect of ‘after at least 60 minutes or more of strenuous physical activity’. </w:t>
      </w:r>
    </w:p>
    <w:p w14:paraId="51CE30A1" w14:textId="3DAE1548" w:rsidR="00EF1F52" w:rsidRPr="00EF1F52" w:rsidRDefault="00EF1F52" w:rsidP="00EF1F52">
      <w:pPr>
        <w:pStyle w:val="FSBullet1"/>
      </w:pPr>
      <w:r w:rsidRPr="00EF1F52">
        <w:t xml:space="preserve">Rapid hydration in association with words to the effect of ‘during at least 60 minutes or more of strenuous physical activity’. </w:t>
      </w:r>
    </w:p>
    <w:p w14:paraId="6E2C8440" w14:textId="4E347CBE" w:rsidR="00EF1F52" w:rsidRPr="00EF1F52" w:rsidRDefault="00EF1F52" w:rsidP="00EF1F52">
      <w:pPr>
        <w:pStyle w:val="FSBullet1"/>
      </w:pPr>
      <w:r w:rsidRPr="00EF1F52">
        <w:t>Contribution to the maintenance of performance by rapid hydration in association with words to the effect of ‘during at least 60 minutes or more of strenuous physical activity’</w:t>
      </w:r>
      <w:r w:rsidR="00E85FFE">
        <w:t>.</w:t>
      </w:r>
    </w:p>
    <w:p w14:paraId="5702AFA3" w14:textId="3A9057C4" w:rsidR="00D3653A" w:rsidRPr="00223764" w:rsidRDefault="00DB234B" w:rsidP="00223764">
      <w:pPr>
        <w:widowControl/>
        <w:spacing w:before="120" w:after="120"/>
      </w:pPr>
      <w:r w:rsidRPr="00223764">
        <w:t xml:space="preserve">It was proposed that </w:t>
      </w:r>
      <w:r w:rsidR="00D3653A" w:rsidRPr="00223764">
        <w:t xml:space="preserve">Standard 1.2.7 and Schedule 4 </w:t>
      </w:r>
      <w:r w:rsidRPr="00223764">
        <w:t xml:space="preserve">would </w:t>
      </w:r>
      <w:r w:rsidR="00D3653A" w:rsidRPr="00223764">
        <w:t xml:space="preserve">not apply to a health claim made about electrolyte drinks, including the permission for self-substantiated health claims. </w:t>
      </w:r>
    </w:p>
    <w:p w14:paraId="35DC6646" w14:textId="475A283F" w:rsidR="007D5068" w:rsidRDefault="007A6310" w:rsidP="00223764">
      <w:pPr>
        <w:widowControl/>
        <w:spacing w:before="120" w:after="120"/>
      </w:pPr>
      <w:r w:rsidRPr="007A6310">
        <w:t xml:space="preserve">The rationale for this approach </w:t>
      </w:r>
      <w:r>
        <w:t>was</w:t>
      </w:r>
      <w:r w:rsidRPr="007A6310">
        <w:t xml:space="preserve"> to reduce the potential </w:t>
      </w:r>
      <w:r w:rsidRPr="00090ACD">
        <w:t>for consumers</w:t>
      </w:r>
      <w:r w:rsidRPr="007A6310">
        <w:t xml:space="preserve"> to be misled about the benefits of electrolyte drinks and their place in the diet</w:t>
      </w:r>
      <w:r w:rsidR="0001229B">
        <w:t xml:space="preserve"> (refer Section 2.3.5.2 of the Consultation Paper)</w:t>
      </w:r>
      <w:r w:rsidRPr="007A6310">
        <w:t xml:space="preserve">. The approach </w:t>
      </w:r>
      <w:r>
        <w:t xml:space="preserve">also reflected the </w:t>
      </w:r>
      <w:r w:rsidRPr="007A6310">
        <w:t xml:space="preserve">current situation whereby most electrolyte drinks </w:t>
      </w:r>
      <w:r>
        <w:t>are</w:t>
      </w:r>
      <w:r w:rsidRPr="007A6310">
        <w:t xml:space="preserve"> not able to make health claims according to Standard 1.2.7 (as they do not meet the NPSC), but would provide specific relevant claims associated with the purpose of electrolyte drinks. </w:t>
      </w:r>
      <w:r w:rsidR="007D5068">
        <w:t>Th</w:t>
      </w:r>
      <w:r w:rsidR="00ED4024">
        <w:t xml:space="preserve">e proposed claims would </w:t>
      </w:r>
      <w:r w:rsidR="007D5068">
        <w:t xml:space="preserve">also </w:t>
      </w:r>
      <w:r w:rsidR="00BD5513">
        <w:t>replace the existing therapeutic claim</w:t>
      </w:r>
      <w:r w:rsidR="007D5068">
        <w:t xml:space="preserve"> </w:t>
      </w:r>
      <w:r w:rsidR="007D5068" w:rsidRPr="007A6310">
        <w:t>permi</w:t>
      </w:r>
      <w:r w:rsidR="007D5068">
        <w:t xml:space="preserve">ssion in subsection 2.6.2—12(3). </w:t>
      </w:r>
      <w:r>
        <w:t>It was also noted that t</w:t>
      </w:r>
      <w:r w:rsidRPr="007A6310">
        <w:t>he overall approach for health claims about electrolyte drinks w</w:t>
      </w:r>
      <w:r w:rsidR="00591989">
        <w:t>ould</w:t>
      </w:r>
      <w:r w:rsidR="00223764">
        <w:t>, if required,</w:t>
      </w:r>
      <w:r w:rsidRPr="007A6310">
        <w:t xml:space="preserve"> be reconsidered in the broader context of the regulation of sports foods under P1010. </w:t>
      </w:r>
    </w:p>
    <w:p w14:paraId="6C26A670" w14:textId="16033EBD" w:rsidR="00635C1B" w:rsidRPr="00223764" w:rsidRDefault="007A6310" w:rsidP="00223764">
      <w:pPr>
        <w:widowControl/>
        <w:spacing w:before="120" w:after="120"/>
      </w:pPr>
      <w:r w:rsidRPr="00223764">
        <w:t xml:space="preserve">The </w:t>
      </w:r>
      <w:r w:rsidR="00ED4024" w:rsidRPr="00223764">
        <w:t xml:space="preserve">proposed </w:t>
      </w:r>
      <w:r w:rsidRPr="00223764">
        <w:t>health claims for electrolyte drinks were informed by an EFSA opinion for two EU-authorised claims as well as sources of evidence reviewed by FSANZ</w:t>
      </w:r>
      <w:r w:rsidR="00201B23" w:rsidRPr="00223764">
        <w:t xml:space="preserve"> </w:t>
      </w:r>
      <w:r w:rsidRPr="00223764">
        <w:t>and by EFSA</w:t>
      </w:r>
      <w:r w:rsidR="00635C1B" w:rsidRPr="00223764">
        <w:t xml:space="preserve">. </w:t>
      </w:r>
      <w:r w:rsidRPr="00223764">
        <w:t>The risk assessment undertaken by FSANZ</w:t>
      </w:r>
      <w:r w:rsidR="00635C1B" w:rsidRPr="00223764">
        <w:t xml:space="preserve"> (see SD1) </w:t>
      </w:r>
      <w:r w:rsidRPr="00223764">
        <w:t>reviewed the comparative difference between electrolyte drinks above and below 5% carbohydrate with respect to hydration and performance. Both FSANZ and EFSA reviewed the evidence under conditions of strenuous exercise for 60 minutes or more, but neither undertook a full systematic review.</w:t>
      </w:r>
    </w:p>
    <w:p w14:paraId="367138D5" w14:textId="4152A0F4" w:rsidR="00635C1B" w:rsidRDefault="007A6310" w:rsidP="00223764">
      <w:pPr>
        <w:widowControl/>
        <w:spacing w:before="120" w:after="120"/>
        <w:rPr>
          <w:rFonts w:cs="Arial"/>
          <w:szCs w:val="20"/>
        </w:rPr>
      </w:pPr>
      <w:r w:rsidRPr="00223764">
        <w:t>FSANZ previously considered EU claims under P293</w:t>
      </w:r>
      <w:r w:rsidR="001D5D1E" w:rsidRPr="00223764">
        <w:t xml:space="preserve"> – Nutrition, health and related claims</w:t>
      </w:r>
      <w:r w:rsidRPr="00223764">
        <w:t xml:space="preserve">, during the development of Standard 1.2.7, where a number of EU claims were adopted for inclusion in Schedule 4 without a systematic review. </w:t>
      </w:r>
      <w:r w:rsidR="003A6FA3" w:rsidRPr="00223764">
        <w:t xml:space="preserve">Two authorised EU </w:t>
      </w:r>
      <w:r w:rsidR="001D5D1E" w:rsidRPr="00223764">
        <w:t xml:space="preserve">claims relating to carbohydrate electrolyte solutions were deferred for further consideration in this </w:t>
      </w:r>
      <w:r w:rsidR="006158E4" w:rsidRPr="00223764">
        <w:t>Proposal</w:t>
      </w:r>
      <w:r w:rsidR="001D5D1E" w:rsidRPr="007A6310">
        <w:rPr>
          <w:rFonts w:cs="Arial"/>
          <w:szCs w:val="20"/>
          <w:vertAlign w:val="superscript"/>
        </w:rPr>
        <w:footnoteReference w:id="11"/>
      </w:r>
      <w:r w:rsidR="001D5D1E" w:rsidRPr="007A6310">
        <w:rPr>
          <w:rFonts w:cs="Arial"/>
          <w:szCs w:val="20"/>
        </w:rPr>
        <w:t>.</w:t>
      </w:r>
    </w:p>
    <w:p w14:paraId="35C3F5DD" w14:textId="5A564C61" w:rsidR="00BD5513" w:rsidRPr="00223764" w:rsidRDefault="00323A36" w:rsidP="00223764">
      <w:pPr>
        <w:widowControl/>
        <w:spacing w:before="120" w:after="120"/>
      </w:pPr>
      <w:r w:rsidRPr="00223764">
        <w:t xml:space="preserve">The scientific rationale and the conditions for </w:t>
      </w:r>
      <w:r w:rsidR="00D3653A" w:rsidRPr="00223764">
        <w:t>the EU</w:t>
      </w:r>
      <w:r w:rsidRPr="00223764">
        <w:t xml:space="preserve"> health claims are given in Appendix 1 to this report.</w:t>
      </w:r>
      <w:r w:rsidR="00D3653A" w:rsidRPr="00223764">
        <w:t xml:space="preserve"> </w:t>
      </w:r>
      <w:r w:rsidR="003A6FA3" w:rsidRPr="00223764">
        <w:t xml:space="preserve">This </w:t>
      </w:r>
      <w:r w:rsidR="006158E4" w:rsidRPr="00223764">
        <w:t>Proposal</w:t>
      </w:r>
      <w:r w:rsidR="003A6FA3" w:rsidRPr="00223764">
        <w:t xml:space="preserve"> brings together the findings of the assessment undertaken by FSANZ (see SD1) and the EU health claim reviews as the evidence base for amending the current claim permission for electrolyte drinks. </w:t>
      </w:r>
      <w:r w:rsidR="00BD5513" w:rsidRPr="00223764">
        <w:t>Details of the amended claims wording, including reasons for inclusions, changes and deletions</w:t>
      </w:r>
      <w:r w:rsidR="00ED4024" w:rsidRPr="00223764">
        <w:t>,</w:t>
      </w:r>
      <w:r w:rsidR="00BD5513" w:rsidRPr="00223764">
        <w:t xml:space="preserve"> are explained in Section </w:t>
      </w:r>
      <w:r w:rsidR="00BD5513">
        <w:t>2.3.5.2.2</w:t>
      </w:r>
      <w:r w:rsidR="00BD5513" w:rsidRPr="00223764">
        <w:t xml:space="preserve"> of the </w:t>
      </w:r>
      <w:r w:rsidR="00223764">
        <w:t xml:space="preserve">2021 </w:t>
      </w:r>
      <w:r w:rsidR="00BD5513" w:rsidRPr="00223764">
        <w:t>Consultation Paper</w:t>
      </w:r>
      <w:r w:rsidR="00BD5513" w:rsidRPr="007A6310">
        <w:t>.</w:t>
      </w:r>
    </w:p>
    <w:p w14:paraId="598E2A42" w14:textId="23ECAAED" w:rsidR="002A6638" w:rsidRDefault="00DB234B" w:rsidP="00223764">
      <w:pPr>
        <w:widowControl/>
        <w:spacing w:before="120" w:after="120"/>
      </w:pPr>
      <w:r>
        <w:t>As in 2014, submitters in 2021 expressed polarised views</w:t>
      </w:r>
      <w:r w:rsidR="0001229B">
        <w:t>.</w:t>
      </w:r>
      <w:r>
        <w:t xml:space="preserve"> </w:t>
      </w:r>
      <w:r w:rsidR="008D155E" w:rsidRPr="00223764">
        <w:t>Most</w:t>
      </w:r>
      <w:r w:rsidR="00E13DAC" w:rsidRPr="00223764">
        <w:t xml:space="preserve"> public health and government</w:t>
      </w:r>
      <w:r w:rsidR="00D3653A" w:rsidRPr="00223764">
        <w:t xml:space="preserve"> </w:t>
      </w:r>
      <w:r w:rsidR="00CA71D8" w:rsidRPr="00223764">
        <w:t xml:space="preserve">submitters </w:t>
      </w:r>
      <w:r w:rsidR="00D3653A" w:rsidRPr="00223764">
        <w:t xml:space="preserve">supported the </w:t>
      </w:r>
      <w:r w:rsidR="00460B2D" w:rsidRPr="00223764">
        <w:t xml:space="preserve">prohibition </w:t>
      </w:r>
      <w:r w:rsidR="00D3653A" w:rsidRPr="00223764">
        <w:t>on health claims</w:t>
      </w:r>
      <w:r w:rsidR="00994302" w:rsidRPr="00223764">
        <w:t xml:space="preserve"> </w:t>
      </w:r>
      <w:r w:rsidR="00333B19" w:rsidRPr="00223764">
        <w:t>and generally</w:t>
      </w:r>
      <w:r w:rsidR="00460B2D" w:rsidRPr="00223764">
        <w:t xml:space="preserve"> supported </w:t>
      </w:r>
      <w:r w:rsidR="00333B19" w:rsidRPr="00223764">
        <w:t>permitting specific</w:t>
      </w:r>
      <w:r w:rsidR="00460B2D" w:rsidRPr="00223764">
        <w:t xml:space="preserve"> claims</w:t>
      </w:r>
      <w:r w:rsidR="00D3653A" w:rsidRPr="00223764">
        <w:t xml:space="preserve"> </w:t>
      </w:r>
      <w:r w:rsidR="00994302" w:rsidRPr="00223764">
        <w:t xml:space="preserve">with </w:t>
      </w:r>
      <w:r w:rsidR="00D3653A" w:rsidRPr="00223764">
        <w:t>condition</w:t>
      </w:r>
      <w:r w:rsidR="00994302" w:rsidRPr="00223764">
        <w:t>s</w:t>
      </w:r>
      <w:r w:rsidR="00D3653A" w:rsidRPr="00223764">
        <w:t xml:space="preserve"> </w:t>
      </w:r>
      <w:r w:rsidR="00AC21E1" w:rsidRPr="00223764">
        <w:t xml:space="preserve">for </w:t>
      </w:r>
      <w:r w:rsidR="001D592C" w:rsidRPr="00223764">
        <w:t xml:space="preserve">their intended purpose. </w:t>
      </w:r>
      <w:r w:rsidR="00D3653A" w:rsidRPr="00223764">
        <w:t xml:space="preserve">Conversely, </w:t>
      </w:r>
      <w:r w:rsidR="007142FA" w:rsidRPr="00223764">
        <w:t>most</w:t>
      </w:r>
      <w:r w:rsidR="007D66AF" w:rsidRPr="00223764">
        <w:t xml:space="preserve"> industry </w:t>
      </w:r>
      <w:r w:rsidR="001C73A7" w:rsidRPr="00223764">
        <w:t xml:space="preserve">submitters </w:t>
      </w:r>
      <w:r w:rsidR="00B9018E" w:rsidRPr="00223764">
        <w:t xml:space="preserve">and </w:t>
      </w:r>
      <w:r w:rsidR="001C73A7" w:rsidRPr="00223764">
        <w:t xml:space="preserve">one </w:t>
      </w:r>
      <w:r w:rsidR="00B9018E" w:rsidRPr="00223764">
        <w:t>government</w:t>
      </w:r>
      <w:r w:rsidR="007D66AF" w:rsidRPr="00223764">
        <w:t xml:space="preserve"> </w:t>
      </w:r>
      <w:r w:rsidR="00D3653A" w:rsidRPr="00223764">
        <w:t xml:space="preserve">submitter expressed opposition to the approach for </w:t>
      </w:r>
      <w:r w:rsidR="00D3653A" w:rsidRPr="00223764">
        <w:lastRenderedPageBreak/>
        <w:t>health claims</w:t>
      </w:r>
      <w:r w:rsidR="00ED4024" w:rsidRPr="00223764">
        <w:t>,</w:t>
      </w:r>
      <w:r w:rsidR="00D3653A" w:rsidRPr="00223764">
        <w:t xml:space="preserve"> in particular the restriction on self-substantiated health claims.</w:t>
      </w:r>
      <w:r w:rsidR="00404A75" w:rsidRPr="00223764">
        <w:t xml:space="preserve"> </w:t>
      </w:r>
      <w:r>
        <w:t>See Table 1 above.</w:t>
      </w:r>
    </w:p>
    <w:p w14:paraId="24A7127F" w14:textId="19185CA8" w:rsidR="00DB234B" w:rsidRPr="00B42116" w:rsidRDefault="00DB234B" w:rsidP="00E3126B">
      <w:pPr>
        <w:widowControl/>
        <w:rPr>
          <w:i/>
        </w:rPr>
      </w:pPr>
      <w:r w:rsidRPr="00B960FE">
        <w:rPr>
          <w:i/>
        </w:rPr>
        <w:t>FSANZ’s decis</w:t>
      </w:r>
      <w:r w:rsidRPr="00B42116">
        <w:rPr>
          <w:i/>
        </w:rPr>
        <w:t>ion</w:t>
      </w:r>
    </w:p>
    <w:p w14:paraId="0E77D0CE" w14:textId="01F444F5" w:rsidR="002A6638" w:rsidRDefault="00DB234B" w:rsidP="00223764">
      <w:pPr>
        <w:widowControl/>
        <w:spacing w:before="120" w:after="120"/>
      </w:pPr>
      <w:r>
        <w:t>After consideration of submission</w:t>
      </w:r>
      <w:r w:rsidR="00934B5E">
        <w:t>s</w:t>
      </w:r>
      <w:r w:rsidR="00D47D20">
        <w:t xml:space="preserve"> and noting the diverse stakeholder views,</w:t>
      </w:r>
      <w:r>
        <w:t xml:space="preserve"> </w:t>
      </w:r>
      <w:r w:rsidR="002A6638">
        <w:t xml:space="preserve">FSANZ decided to re-affirm the approach in the </w:t>
      </w:r>
      <w:r w:rsidR="00934B5E">
        <w:t xml:space="preserve">2021 </w:t>
      </w:r>
      <w:r w:rsidR="002A6638">
        <w:t>Consultation Paper for health claims. That is</w:t>
      </w:r>
      <w:r>
        <w:t>,</w:t>
      </w:r>
      <w:r w:rsidR="002A6638">
        <w:t xml:space="preserve"> to prohibit health claims on electrolyte drinks, including self-substantiated health claims, other than three pre-approved claims relating to the intended purpose of electrolyte drinks for hydration and maintenance of performance. </w:t>
      </w:r>
      <w:r>
        <w:t>The rationale remained that as</w:t>
      </w:r>
      <w:r w:rsidR="008F657F">
        <w:t xml:space="preserve"> stated in the Consultation Paper</w:t>
      </w:r>
      <w:r>
        <w:t xml:space="preserve">. </w:t>
      </w:r>
      <w:r w:rsidR="002A6638">
        <w:t>Th</w:t>
      </w:r>
      <w:r>
        <w:t>e prohibition</w:t>
      </w:r>
      <w:r w:rsidR="002A6638">
        <w:t xml:space="preserve"> in effect reflects the current situation whereby most electrolyte drinks are not able to make health claims according to Standard 1.2.7 (as they do not meet the NPSC), but rely on the permission </w:t>
      </w:r>
      <w:r>
        <w:t xml:space="preserve">in Standard 2.6.2 </w:t>
      </w:r>
      <w:r w:rsidR="002A6638">
        <w:t xml:space="preserve">to make </w:t>
      </w:r>
      <w:r>
        <w:t xml:space="preserve">a </w:t>
      </w:r>
      <w:r w:rsidR="002A6638">
        <w:t xml:space="preserve">specific health claim </w:t>
      </w:r>
      <w:r>
        <w:t xml:space="preserve">(see </w:t>
      </w:r>
      <w:r w:rsidR="00934B5E">
        <w:t>S</w:t>
      </w:r>
      <w:r>
        <w:t>ection 1.3.2 above).</w:t>
      </w:r>
      <w:r w:rsidR="002A6638">
        <w:t xml:space="preserve"> </w:t>
      </w:r>
      <w:r>
        <w:t xml:space="preserve">The approach taken </w:t>
      </w:r>
      <w:r w:rsidR="002A6638">
        <w:t>addresses concern</w:t>
      </w:r>
      <w:r w:rsidR="00D47D20">
        <w:t>s</w:t>
      </w:r>
      <w:r w:rsidR="002A6638">
        <w:t xml:space="preserve"> about the potential for consumers to be misled about the intended purpose and use of electrolyte drinks.</w:t>
      </w:r>
    </w:p>
    <w:p w14:paraId="70300045" w14:textId="3C96A240" w:rsidR="002A6638" w:rsidRPr="00E3126B" w:rsidRDefault="00C76679" w:rsidP="006339BD">
      <w:pPr>
        <w:pStyle w:val="Heading4"/>
        <w:rPr>
          <w:rFonts w:eastAsia="Calibri"/>
        </w:rPr>
      </w:pPr>
      <w:r>
        <w:rPr>
          <w:rFonts w:eastAsia="Calibri"/>
        </w:rPr>
        <w:t>2.4</w:t>
      </w:r>
      <w:r w:rsidR="002A6638" w:rsidRPr="00E3126B">
        <w:rPr>
          <w:rFonts w:eastAsia="Calibri"/>
        </w:rPr>
        <w:t xml:space="preserve">.5.5 </w:t>
      </w:r>
      <w:r w:rsidR="002A6638" w:rsidRPr="00E3126B">
        <w:rPr>
          <w:rFonts w:eastAsia="Calibri"/>
        </w:rPr>
        <w:tab/>
        <w:t>Claims in relation to the tonicity of electrolyte drinks</w:t>
      </w:r>
    </w:p>
    <w:p w14:paraId="782A2AC4" w14:textId="77777777" w:rsidR="00D47D20" w:rsidRPr="00B960FE" w:rsidRDefault="00D47D20" w:rsidP="00006ADA">
      <w:pPr>
        <w:widowControl/>
        <w:rPr>
          <w:i/>
        </w:rPr>
      </w:pPr>
      <w:r w:rsidRPr="00B960FE">
        <w:rPr>
          <w:i/>
        </w:rPr>
        <w:t>Current requirements</w:t>
      </w:r>
    </w:p>
    <w:p w14:paraId="033C73B7" w14:textId="77777777" w:rsidR="00D47D20" w:rsidRDefault="00D47D20" w:rsidP="00006ADA">
      <w:pPr>
        <w:widowControl/>
        <w:spacing w:before="120" w:after="120"/>
      </w:pPr>
      <w:r>
        <w:t xml:space="preserve">A </w:t>
      </w:r>
      <w:r w:rsidRPr="00907923">
        <w:t>claim that an</w:t>
      </w:r>
      <w:r>
        <w:t xml:space="preserve"> electrolyte drink is isotonic can be </w:t>
      </w:r>
      <w:r w:rsidRPr="00907923">
        <w:t>made if the</w:t>
      </w:r>
      <w:r>
        <w:t xml:space="preserve"> electrolyte drink </w:t>
      </w:r>
      <w:r w:rsidRPr="00907923">
        <w:t>has an average osmolality of 250–340 mOsmol/</w:t>
      </w:r>
      <w:r>
        <w:t>L</w:t>
      </w:r>
      <w:r w:rsidRPr="00907923">
        <w:t>.</w:t>
      </w:r>
      <w:r>
        <w:t xml:space="preserve"> </w:t>
      </w:r>
    </w:p>
    <w:p w14:paraId="63C50D4F" w14:textId="77777777" w:rsidR="00D47D20" w:rsidRDefault="00D47D20" w:rsidP="00006ADA">
      <w:pPr>
        <w:widowControl/>
        <w:spacing w:before="120" w:after="120"/>
      </w:pPr>
      <w:r w:rsidRPr="00EF1003">
        <w:t>The osmolality of any</w:t>
      </w:r>
      <w:r>
        <w:t xml:space="preserve"> electrolyte drink </w:t>
      </w:r>
      <w:r w:rsidRPr="00EF1003">
        <w:t xml:space="preserve">must </w:t>
      </w:r>
      <w:r>
        <w:t xml:space="preserve">currently </w:t>
      </w:r>
      <w:r w:rsidRPr="00EF1003">
        <w:t>be declared on the label in mOsm/</w:t>
      </w:r>
      <w:r>
        <w:t>L</w:t>
      </w:r>
      <w:r w:rsidRPr="00EF1003">
        <w:t xml:space="preserve"> if a claim is made that the drink is isotonic, hypertonic or hypotonic</w:t>
      </w:r>
      <w:r w:rsidRPr="00DD5357">
        <w:t xml:space="preserve"> (</w:t>
      </w:r>
      <w:r>
        <w:t>paragraph</w:t>
      </w:r>
      <w:r w:rsidRPr="00EF1003">
        <w:t xml:space="preserve"> 1.2.1—8</w:t>
      </w:r>
      <w:r>
        <w:t>(1)</w:t>
      </w:r>
      <w:r w:rsidRPr="00EF1003">
        <w:t>(t)</w:t>
      </w:r>
      <w:r>
        <w:t xml:space="preserve"> and sub</w:t>
      </w:r>
      <w:r w:rsidRPr="00DD5357">
        <w:t>section 2.6.2—12(2)).</w:t>
      </w:r>
      <w:r w:rsidRPr="00EF1003" w:rsidDel="002F0604">
        <w:t xml:space="preserve"> </w:t>
      </w:r>
    </w:p>
    <w:p w14:paraId="6DAD7201" w14:textId="77777777" w:rsidR="00D47D20" w:rsidRPr="00B960FE" w:rsidRDefault="00D47D20" w:rsidP="00006ADA">
      <w:pPr>
        <w:widowControl/>
        <w:rPr>
          <w:i/>
        </w:rPr>
      </w:pPr>
      <w:r w:rsidRPr="00B960FE">
        <w:rPr>
          <w:i/>
          <w:lang w:eastAsia="en-AU" w:bidi="ar-SA"/>
        </w:rPr>
        <w:t>Proposed approach in 2014</w:t>
      </w:r>
    </w:p>
    <w:p w14:paraId="22C2CB33" w14:textId="6309F465" w:rsidR="00D47D20" w:rsidRDefault="00D47D20" w:rsidP="00006ADA">
      <w:pPr>
        <w:widowControl/>
        <w:spacing w:before="120" w:after="120"/>
      </w:pPr>
      <w:r>
        <w:t xml:space="preserve">No changes were proposed to this approach in 2014. </w:t>
      </w:r>
    </w:p>
    <w:p w14:paraId="7C49CB56" w14:textId="55B99537" w:rsidR="00D47D20" w:rsidRPr="00B960FE" w:rsidRDefault="00D47D20" w:rsidP="00006ADA">
      <w:pPr>
        <w:widowControl/>
        <w:rPr>
          <w:i/>
        </w:rPr>
      </w:pPr>
      <w:r w:rsidRPr="00B960FE">
        <w:rPr>
          <w:i/>
        </w:rPr>
        <w:t>Proposed approach in 2021</w:t>
      </w:r>
    </w:p>
    <w:p w14:paraId="6B4414B3" w14:textId="2846701C" w:rsidR="00D47D20" w:rsidRDefault="002A6638" w:rsidP="00006ADA">
      <w:pPr>
        <w:widowControl/>
        <w:spacing w:before="120" w:after="120"/>
      </w:pPr>
      <w:r>
        <w:t xml:space="preserve">In the 2021 Consultation Paper FSANZ proposed to make no changes to the current osmolality range defining isotonic claims (250–340 mOsmol/L) except for a change to the units (refer </w:t>
      </w:r>
      <w:r w:rsidR="00934B5E">
        <w:t>S</w:t>
      </w:r>
      <w:r>
        <w:t>ection 2.3.3.3</w:t>
      </w:r>
      <w:r w:rsidR="00D47D20">
        <w:t xml:space="preserve"> above</w:t>
      </w:r>
      <w:r>
        <w:t xml:space="preserve">). </w:t>
      </w:r>
    </w:p>
    <w:p w14:paraId="68E397F5" w14:textId="77777777" w:rsidR="00D47D20" w:rsidRDefault="002A6638" w:rsidP="00006ADA">
      <w:pPr>
        <w:widowControl/>
        <w:spacing w:before="120" w:after="120"/>
      </w:pPr>
      <w:r>
        <w:t xml:space="preserve">All submissions to the Consultation Paper supported this approach. </w:t>
      </w:r>
    </w:p>
    <w:p w14:paraId="2D3563B7" w14:textId="77777777" w:rsidR="00D47D20" w:rsidRPr="00B960FE" w:rsidRDefault="00D47D20" w:rsidP="002A6638">
      <w:pPr>
        <w:widowControl/>
        <w:autoSpaceDE w:val="0"/>
        <w:autoSpaceDN w:val="0"/>
        <w:adjustRightInd w:val="0"/>
        <w:rPr>
          <w:i/>
        </w:rPr>
      </w:pPr>
      <w:r w:rsidRPr="00B960FE">
        <w:rPr>
          <w:i/>
        </w:rPr>
        <w:t>FSANZ’s decision</w:t>
      </w:r>
    </w:p>
    <w:p w14:paraId="7C874595" w14:textId="3147A96E" w:rsidR="002A6638" w:rsidRDefault="002A6638" w:rsidP="00006ADA">
      <w:pPr>
        <w:widowControl/>
        <w:spacing w:before="120" w:after="120"/>
      </w:pPr>
      <w:r>
        <w:t>FSANZ has therefore decided to maintain th</w:t>
      </w:r>
      <w:r w:rsidR="00934B5E">
        <w:t>e</w:t>
      </w:r>
      <w:r>
        <w:t xml:space="preserve"> approach</w:t>
      </w:r>
      <w:r w:rsidR="00934B5E">
        <w:t xml:space="preserve"> in the 2021 Consultation Paper</w:t>
      </w:r>
      <w:r>
        <w:t>.</w:t>
      </w:r>
    </w:p>
    <w:p w14:paraId="541A44CC" w14:textId="77777777" w:rsidR="002A6638" w:rsidRDefault="002A6638" w:rsidP="00006ADA">
      <w:pPr>
        <w:widowControl/>
        <w:spacing w:before="120" w:after="120"/>
      </w:pPr>
      <w:r>
        <w:t xml:space="preserve">A claim that an electrolyte drink is isotonic may only be made if the electrolyte drink has an average osmolality of 250–340 mOsmol/kg. For compositional requirements the units of osmolality will be mOsm/kg however current labelling declaration unit requirements of osmolality using mOsm/L are retained if a claim is made that the drink is isotonic, hypertonic or hypotonic. </w:t>
      </w:r>
    </w:p>
    <w:p w14:paraId="04EEC8BD" w14:textId="1C58508C" w:rsidR="00B84381" w:rsidRDefault="002A6638" w:rsidP="00006ADA">
      <w:pPr>
        <w:widowControl/>
        <w:spacing w:before="120" w:after="120"/>
      </w:pPr>
      <w:r>
        <w:t xml:space="preserve">FSANZ considers mOsm/L remains the appropriate unit for declaring osmolality for labelling purposes, as other units of measure on electrolyte drinks are likely to be in litres or millilitres. The difference in tonicity for electrolyte drinks on a kilogram basis compared to a litre basis is insignificant when rounding is taken into account (no more than about 3%). </w:t>
      </w:r>
    </w:p>
    <w:p w14:paraId="0EF57AA5" w14:textId="00A80213" w:rsidR="00B84381" w:rsidRDefault="00C76679" w:rsidP="00E65863">
      <w:pPr>
        <w:pStyle w:val="Heading3"/>
      </w:pPr>
      <w:bookmarkStart w:id="137" w:name="_Toc103197709"/>
      <w:r>
        <w:t>2.4.6</w:t>
      </w:r>
      <w:r w:rsidR="00B84381">
        <w:tab/>
      </w:r>
      <w:r>
        <w:t>Existing d</w:t>
      </w:r>
      <w:r w:rsidR="00B84381">
        <w:t>efinitions</w:t>
      </w:r>
      <w:r>
        <w:t xml:space="preserve"> in the Code</w:t>
      </w:r>
      <w:bookmarkEnd w:id="137"/>
    </w:p>
    <w:p w14:paraId="428C98F3" w14:textId="07FA6546" w:rsidR="00B84381" w:rsidRDefault="00B84381" w:rsidP="00006ADA">
      <w:pPr>
        <w:spacing w:before="120" w:after="120"/>
        <w:rPr>
          <w:lang w:eastAsia="en-AU" w:bidi="ar-SA"/>
        </w:rPr>
      </w:pPr>
      <w:r>
        <w:rPr>
          <w:lang w:eastAsia="en-AU" w:bidi="ar-SA"/>
        </w:rPr>
        <w:t>A number of definitions</w:t>
      </w:r>
      <w:r w:rsidR="00DB3013">
        <w:rPr>
          <w:lang w:eastAsia="en-AU" w:bidi="ar-SA"/>
        </w:rPr>
        <w:t xml:space="preserve"> </w:t>
      </w:r>
      <w:r w:rsidR="00387EA2">
        <w:rPr>
          <w:lang w:eastAsia="en-AU" w:bidi="ar-SA"/>
        </w:rPr>
        <w:t>in section 1.1.2</w:t>
      </w:r>
      <w:r w:rsidR="00387EA2" w:rsidRPr="00DD5357">
        <w:rPr>
          <w:lang w:eastAsia="en-AU" w:bidi="ar-SA"/>
        </w:rPr>
        <w:t>—</w:t>
      </w:r>
      <w:r w:rsidR="00387EA2">
        <w:rPr>
          <w:lang w:eastAsia="en-AU" w:bidi="ar-SA"/>
        </w:rPr>
        <w:t xml:space="preserve">3 of the Code, as </w:t>
      </w:r>
      <w:r w:rsidR="00DB3013">
        <w:rPr>
          <w:lang w:eastAsia="en-AU" w:bidi="ar-SA"/>
        </w:rPr>
        <w:t>applicable</w:t>
      </w:r>
      <w:r w:rsidR="00E26BD5">
        <w:rPr>
          <w:lang w:eastAsia="en-AU" w:bidi="ar-SA"/>
        </w:rPr>
        <w:t xml:space="preserve"> to Standard 2.6.2</w:t>
      </w:r>
      <w:r>
        <w:rPr>
          <w:lang w:eastAsia="en-AU" w:bidi="ar-SA"/>
        </w:rPr>
        <w:t xml:space="preserve"> are </w:t>
      </w:r>
      <w:r w:rsidR="00387EA2">
        <w:rPr>
          <w:lang w:eastAsia="en-AU" w:bidi="ar-SA"/>
        </w:rPr>
        <w:t xml:space="preserve">also </w:t>
      </w:r>
      <w:r>
        <w:rPr>
          <w:lang w:eastAsia="en-AU" w:bidi="ar-SA"/>
        </w:rPr>
        <w:t xml:space="preserve">included in </w:t>
      </w:r>
      <w:r w:rsidR="00DB3013">
        <w:rPr>
          <w:lang w:eastAsia="en-AU" w:bidi="ar-SA"/>
        </w:rPr>
        <w:t>section 2.6.2</w:t>
      </w:r>
      <w:r w:rsidR="00DB3013" w:rsidRPr="00DD5357">
        <w:rPr>
          <w:lang w:eastAsia="en-AU" w:bidi="ar-SA"/>
        </w:rPr>
        <w:t>—</w:t>
      </w:r>
      <w:r w:rsidR="00DB3013">
        <w:rPr>
          <w:lang w:eastAsia="en-AU" w:bidi="ar-SA"/>
        </w:rPr>
        <w:t xml:space="preserve">2 as a Note to that section. </w:t>
      </w:r>
    </w:p>
    <w:p w14:paraId="26D4814A" w14:textId="436DD2AE" w:rsidR="00B84381" w:rsidRPr="00B960FE" w:rsidRDefault="00B84381" w:rsidP="00006ADA">
      <w:pPr>
        <w:widowControl/>
        <w:autoSpaceDE w:val="0"/>
        <w:autoSpaceDN w:val="0"/>
        <w:adjustRightInd w:val="0"/>
        <w:spacing w:before="120" w:after="120"/>
        <w:rPr>
          <w:i/>
        </w:rPr>
      </w:pPr>
      <w:r w:rsidRPr="00B960FE">
        <w:rPr>
          <w:i/>
        </w:rPr>
        <w:t xml:space="preserve">Proposed approach in </w:t>
      </w:r>
      <w:r w:rsidR="00387EA2">
        <w:rPr>
          <w:i/>
        </w:rPr>
        <w:t>2</w:t>
      </w:r>
      <w:r w:rsidR="00DB3013">
        <w:rPr>
          <w:i/>
        </w:rPr>
        <w:t>021</w:t>
      </w:r>
    </w:p>
    <w:p w14:paraId="05C86C12" w14:textId="048AA1DD" w:rsidR="00E26BD5" w:rsidRDefault="00DB3013" w:rsidP="00006ADA">
      <w:pPr>
        <w:spacing w:before="120" w:after="120"/>
        <w:rPr>
          <w:lang w:eastAsia="en-AU" w:bidi="ar-SA"/>
        </w:rPr>
      </w:pPr>
      <w:r>
        <w:rPr>
          <w:lang w:eastAsia="en-AU" w:bidi="ar-SA"/>
        </w:rPr>
        <w:t xml:space="preserve">In the </w:t>
      </w:r>
      <w:r w:rsidR="00E26BD5">
        <w:rPr>
          <w:lang w:eastAsia="en-AU" w:bidi="ar-SA"/>
        </w:rPr>
        <w:t xml:space="preserve">draft variation in the </w:t>
      </w:r>
      <w:r>
        <w:rPr>
          <w:lang w:eastAsia="en-AU" w:bidi="ar-SA"/>
        </w:rPr>
        <w:t xml:space="preserve">2021 Consultation Paper, </w:t>
      </w:r>
      <w:r w:rsidR="00E26BD5">
        <w:rPr>
          <w:lang w:eastAsia="en-AU" w:bidi="ar-SA"/>
        </w:rPr>
        <w:t xml:space="preserve">additional definitions </w:t>
      </w:r>
      <w:r w:rsidR="00F31A80">
        <w:rPr>
          <w:lang w:eastAsia="en-AU" w:bidi="ar-SA"/>
        </w:rPr>
        <w:t xml:space="preserve">relevant to the new draft variation, that are </w:t>
      </w:r>
      <w:r w:rsidR="00E26BD5">
        <w:rPr>
          <w:lang w:eastAsia="en-AU" w:bidi="ar-SA"/>
        </w:rPr>
        <w:t>already in</w:t>
      </w:r>
      <w:r w:rsidR="00E26BD5" w:rsidRPr="00E26BD5">
        <w:t xml:space="preserve"> </w:t>
      </w:r>
      <w:r w:rsidR="00E26BD5" w:rsidRPr="00E26BD5">
        <w:rPr>
          <w:lang w:eastAsia="en-AU" w:bidi="ar-SA"/>
        </w:rPr>
        <w:t>section</w:t>
      </w:r>
      <w:r w:rsidR="00F31A80">
        <w:rPr>
          <w:lang w:eastAsia="en-AU" w:bidi="ar-SA"/>
        </w:rPr>
        <w:t>s</w:t>
      </w:r>
      <w:r w:rsidR="00E26BD5" w:rsidRPr="00E26BD5">
        <w:rPr>
          <w:lang w:eastAsia="en-AU" w:bidi="ar-SA"/>
        </w:rPr>
        <w:t xml:space="preserve"> </w:t>
      </w:r>
      <w:r w:rsidR="00387EA2">
        <w:rPr>
          <w:lang w:eastAsia="en-AU" w:bidi="ar-SA"/>
        </w:rPr>
        <w:t>1.1.2—2,</w:t>
      </w:r>
      <w:r w:rsidR="00387EA2" w:rsidRPr="00387EA2">
        <w:rPr>
          <w:lang w:eastAsia="en-AU" w:bidi="ar-SA"/>
        </w:rPr>
        <w:t xml:space="preserve"> </w:t>
      </w:r>
      <w:r w:rsidR="00E26BD5" w:rsidRPr="00E26BD5">
        <w:rPr>
          <w:lang w:eastAsia="en-AU" w:bidi="ar-SA"/>
        </w:rPr>
        <w:t>1.1.2—3</w:t>
      </w:r>
      <w:r w:rsidR="00E26BD5">
        <w:rPr>
          <w:lang w:eastAsia="en-AU" w:bidi="ar-SA"/>
        </w:rPr>
        <w:t xml:space="preserve"> </w:t>
      </w:r>
      <w:r w:rsidR="00387EA2">
        <w:rPr>
          <w:lang w:eastAsia="en-AU" w:bidi="ar-SA"/>
        </w:rPr>
        <w:t>and 1.1.2—9(1)</w:t>
      </w:r>
      <w:r w:rsidR="00F31A80">
        <w:rPr>
          <w:lang w:eastAsia="en-AU" w:bidi="ar-SA"/>
        </w:rPr>
        <w:t>,</w:t>
      </w:r>
      <w:r w:rsidR="00387EA2">
        <w:rPr>
          <w:lang w:eastAsia="en-AU" w:bidi="ar-SA"/>
        </w:rPr>
        <w:t xml:space="preserve"> </w:t>
      </w:r>
      <w:r w:rsidR="00E26BD5">
        <w:rPr>
          <w:lang w:eastAsia="en-AU" w:bidi="ar-SA"/>
        </w:rPr>
        <w:t xml:space="preserve">were </w:t>
      </w:r>
      <w:r w:rsidR="00F31A80">
        <w:rPr>
          <w:lang w:eastAsia="en-AU" w:bidi="ar-SA"/>
        </w:rPr>
        <w:t xml:space="preserve">also </w:t>
      </w:r>
      <w:r w:rsidR="00E26BD5">
        <w:rPr>
          <w:lang w:eastAsia="en-AU" w:bidi="ar-SA"/>
        </w:rPr>
        <w:lastRenderedPageBreak/>
        <w:t>included in</w:t>
      </w:r>
      <w:r w:rsidR="00F31A80">
        <w:rPr>
          <w:lang w:eastAsia="en-AU" w:bidi="ar-SA"/>
        </w:rPr>
        <w:t xml:space="preserve"> section 2.6.2</w:t>
      </w:r>
      <w:r w:rsidR="00F31A80" w:rsidRPr="00DD5357">
        <w:rPr>
          <w:lang w:eastAsia="en-AU" w:bidi="ar-SA"/>
        </w:rPr>
        <w:t>—</w:t>
      </w:r>
      <w:r w:rsidR="00F31A80">
        <w:rPr>
          <w:lang w:eastAsia="en-AU" w:bidi="ar-SA"/>
        </w:rPr>
        <w:t xml:space="preserve">2, as </w:t>
      </w:r>
      <w:r w:rsidR="00387EA2">
        <w:rPr>
          <w:lang w:eastAsia="en-AU" w:bidi="ar-SA"/>
        </w:rPr>
        <w:t>N</w:t>
      </w:r>
      <w:r w:rsidR="00E26BD5">
        <w:rPr>
          <w:lang w:eastAsia="en-AU" w:bidi="ar-SA"/>
        </w:rPr>
        <w:t>otes</w:t>
      </w:r>
      <w:r w:rsidR="00387EA2">
        <w:rPr>
          <w:lang w:eastAsia="en-AU" w:bidi="ar-SA"/>
        </w:rPr>
        <w:t xml:space="preserve"> 1, 2 and 3 respectively</w:t>
      </w:r>
      <w:r w:rsidR="00F31A80">
        <w:rPr>
          <w:lang w:eastAsia="en-AU" w:bidi="ar-SA"/>
        </w:rPr>
        <w:t xml:space="preserve">. </w:t>
      </w:r>
    </w:p>
    <w:p w14:paraId="78C2E6AD" w14:textId="275B13A9" w:rsidR="00E26BD5" w:rsidRPr="00006ADA" w:rsidRDefault="00E26BD5" w:rsidP="00006ADA">
      <w:pPr>
        <w:widowControl/>
        <w:autoSpaceDE w:val="0"/>
        <w:autoSpaceDN w:val="0"/>
        <w:adjustRightInd w:val="0"/>
        <w:spacing w:before="120" w:after="120"/>
        <w:rPr>
          <w:i/>
        </w:rPr>
      </w:pPr>
      <w:r w:rsidRPr="00006ADA">
        <w:rPr>
          <w:i/>
        </w:rPr>
        <w:t>Decision</w:t>
      </w:r>
    </w:p>
    <w:p w14:paraId="26A637ED" w14:textId="6218F4A8" w:rsidR="00B84381" w:rsidRDefault="00E26BD5" w:rsidP="00006ADA">
      <w:pPr>
        <w:widowControl/>
        <w:autoSpaceDE w:val="0"/>
        <w:autoSpaceDN w:val="0"/>
        <w:adjustRightInd w:val="0"/>
        <w:spacing w:before="120" w:after="120"/>
      </w:pPr>
      <w:r>
        <w:t>The ap</w:t>
      </w:r>
      <w:r w:rsidR="00387EA2">
        <w:t>proach in the draft variation</w:t>
      </w:r>
      <w:r>
        <w:t xml:space="preserve"> outlined above has been maintained with the exception of the nutrition content claim definition. This definition was inadvertently included in </w:t>
      </w:r>
      <w:r w:rsidR="00387EA2">
        <w:t xml:space="preserve">both </w:t>
      </w:r>
      <w:r>
        <w:t xml:space="preserve">Notes 1 and 3 and has therefore been removed from Note 1.   </w:t>
      </w:r>
    </w:p>
    <w:p w14:paraId="1A924F6E" w14:textId="1E3BADF2" w:rsidR="002A6638" w:rsidRDefault="002A6638" w:rsidP="006339BD">
      <w:pPr>
        <w:pStyle w:val="Heading3"/>
      </w:pPr>
      <w:bookmarkStart w:id="138" w:name="_Toc103090817"/>
      <w:bookmarkStart w:id="139" w:name="_Toc103197710"/>
      <w:r>
        <w:t>2.</w:t>
      </w:r>
      <w:r w:rsidR="00C76679">
        <w:t>4.7</w:t>
      </w:r>
      <w:r>
        <w:tab/>
        <w:t>Risk management conclusion</w:t>
      </w:r>
      <w:bookmarkEnd w:id="138"/>
      <w:bookmarkEnd w:id="139"/>
      <w:r>
        <w:t xml:space="preserve">  </w:t>
      </w:r>
    </w:p>
    <w:p w14:paraId="1B0C9683" w14:textId="2BDDD2B5" w:rsidR="00006ADA" w:rsidRDefault="002A6638" w:rsidP="002A6638">
      <w:pPr>
        <w:widowControl/>
        <w:autoSpaceDE w:val="0"/>
        <w:autoSpaceDN w:val="0"/>
        <w:adjustRightInd w:val="0"/>
      </w:pPr>
      <w:r>
        <w:t xml:space="preserve">Overall, FSANZ concludes that the changes to the prescribed composition and labelling requirements for electrolyte drinks within Standard 2.6.2 of the Code as outlined above will provide regulatory clarity and reduce the potential for consumers to be misled about the intended purpose and place of electrolyte drinks in the diet. </w:t>
      </w:r>
      <w:r w:rsidR="00006ADA" w:rsidRPr="00E94EA6">
        <w:t xml:space="preserve">The </w:t>
      </w:r>
      <w:r w:rsidR="00006ADA">
        <w:t>amendments</w:t>
      </w:r>
      <w:r w:rsidR="00006ADA" w:rsidRPr="00E94EA6">
        <w:t xml:space="preserve"> also </w:t>
      </w:r>
      <w:r w:rsidR="00006ADA">
        <w:t>reflect current public health policy to reduce the amount of sugar contained in sugar sweetened beverages.</w:t>
      </w:r>
    </w:p>
    <w:p w14:paraId="1C2111A5" w14:textId="133412B1" w:rsidR="002A6638" w:rsidRDefault="002A6638" w:rsidP="00E3126B">
      <w:pPr>
        <w:pStyle w:val="Heading2"/>
        <w:spacing w:after="120"/>
      </w:pPr>
      <w:bookmarkStart w:id="140" w:name="_Toc103090818"/>
      <w:bookmarkStart w:id="141" w:name="_Toc103197711"/>
      <w:r>
        <w:t>2.</w:t>
      </w:r>
      <w:r w:rsidR="00C76679">
        <w:t>5</w:t>
      </w:r>
      <w:r>
        <w:tab/>
        <w:t>Risk communication</w:t>
      </w:r>
      <w:bookmarkEnd w:id="140"/>
      <w:bookmarkEnd w:id="141"/>
      <w:r>
        <w:t xml:space="preserve"> </w:t>
      </w:r>
    </w:p>
    <w:p w14:paraId="3BAEB697" w14:textId="1319E0C3" w:rsidR="002A6638" w:rsidRDefault="00C76679" w:rsidP="006339BD">
      <w:pPr>
        <w:pStyle w:val="Heading3"/>
      </w:pPr>
      <w:bookmarkStart w:id="142" w:name="_Toc103090819"/>
      <w:bookmarkStart w:id="143" w:name="_Toc103197712"/>
      <w:r>
        <w:t>2.5</w:t>
      </w:r>
      <w:r w:rsidR="002A6638">
        <w:t>.1</w:t>
      </w:r>
      <w:r w:rsidR="002A6638">
        <w:tab/>
        <w:t>Consultation</w:t>
      </w:r>
      <w:bookmarkEnd w:id="142"/>
      <w:bookmarkEnd w:id="143"/>
    </w:p>
    <w:p w14:paraId="67E9BC26" w14:textId="78F532E3" w:rsidR="000735DD" w:rsidRPr="00F13633" w:rsidRDefault="002A6638">
      <w:pPr>
        <w:spacing w:before="120"/>
        <w:rPr>
          <w:szCs w:val="22"/>
        </w:rPr>
      </w:pPr>
      <w:r>
        <w:t xml:space="preserve">Consultation is a key part of FSANZ’s standards development process. FSANZ developed and applied a standard communication strategy to this Proposal. </w:t>
      </w:r>
      <w:r w:rsidR="006372C4">
        <w:t>A call for submission</w:t>
      </w:r>
      <w:r w:rsidR="007153CF">
        <w:t>s</w:t>
      </w:r>
      <w:r w:rsidR="006372C4">
        <w:t xml:space="preserve"> was issued in 2014 and called </w:t>
      </w:r>
      <w:r w:rsidR="000A73E8">
        <w:t>from</w:t>
      </w:r>
      <w:r w:rsidR="006372C4">
        <w:t xml:space="preserve"> </w:t>
      </w:r>
      <w:r w:rsidR="006372C4">
        <w:rPr>
          <w:szCs w:val="22"/>
        </w:rPr>
        <w:t xml:space="preserve">18 August 2014 to 30 September 2014. </w:t>
      </w:r>
      <w:r w:rsidR="00604563" w:rsidRPr="00F13633">
        <w:t>A</w:t>
      </w:r>
      <w:r w:rsidR="00EF4702">
        <w:rPr>
          <w:szCs w:val="22"/>
        </w:rPr>
        <w:t xml:space="preserve"> public C</w:t>
      </w:r>
      <w:r w:rsidR="00604563" w:rsidRPr="00F13633">
        <w:rPr>
          <w:szCs w:val="22"/>
        </w:rPr>
        <w:t xml:space="preserve">onsultation </w:t>
      </w:r>
      <w:r w:rsidR="00EF4702">
        <w:rPr>
          <w:szCs w:val="22"/>
        </w:rPr>
        <w:t>P</w:t>
      </w:r>
      <w:r w:rsidR="00604563" w:rsidRPr="00F13633">
        <w:rPr>
          <w:szCs w:val="22"/>
        </w:rPr>
        <w:t xml:space="preserve">aper </w:t>
      </w:r>
      <w:r w:rsidR="006372C4">
        <w:rPr>
          <w:szCs w:val="22"/>
        </w:rPr>
        <w:t xml:space="preserve">also </w:t>
      </w:r>
      <w:r w:rsidR="00604563" w:rsidRPr="00F13633">
        <w:rPr>
          <w:szCs w:val="22"/>
        </w:rPr>
        <w:t xml:space="preserve">called for submissions from </w:t>
      </w:r>
      <w:r w:rsidR="00604563">
        <w:rPr>
          <w:szCs w:val="22"/>
        </w:rPr>
        <w:t>28 May</w:t>
      </w:r>
      <w:r w:rsidR="00604563" w:rsidRPr="00F13633">
        <w:rPr>
          <w:szCs w:val="22"/>
        </w:rPr>
        <w:t xml:space="preserve"> 2021 to </w:t>
      </w:r>
      <w:r w:rsidR="00604563">
        <w:rPr>
          <w:szCs w:val="22"/>
        </w:rPr>
        <w:t>9 July</w:t>
      </w:r>
      <w:r w:rsidR="00604563" w:rsidRPr="00F13633">
        <w:rPr>
          <w:szCs w:val="22"/>
        </w:rPr>
        <w:t xml:space="preserve"> 2021. </w:t>
      </w:r>
      <w:r w:rsidR="007153CF">
        <w:rPr>
          <w:szCs w:val="22"/>
        </w:rPr>
        <w:t>Thirty nine</w:t>
      </w:r>
      <w:r w:rsidR="006372C4">
        <w:rPr>
          <w:szCs w:val="22"/>
        </w:rPr>
        <w:t xml:space="preserve"> submissions were received in 2014. </w:t>
      </w:r>
      <w:r w:rsidR="007153CF">
        <w:rPr>
          <w:szCs w:val="22"/>
        </w:rPr>
        <w:t>Seventeen</w:t>
      </w:r>
      <w:r w:rsidR="00604563" w:rsidRPr="00F13633">
        <w:rPr>
          <w:szCs w:val="22"/>
        </w:rPr>
        <w:t xml:space="preserve"> submissions were received</w:t>
      </w:r>
      <w:r w:rsidR="006372C4">
        <w:rPr>
          <w:szCs w:val="22"/>
        </w:rPr>
        <w:t xml:space="preserve"> in 2021</w:t>
      </w:r>
      <w:r w:rsidR="00604563" w:rsidRPr="00F13633">
        <w:rPr>
          <w:szCs w:val="22"/>
        </w:rPr>
        <w:t xml:space="preserve">. </w:t>
      </w:r>
      <w:r>
        <w:t>Subscribers, interested</w:t>
      </w:r>
      <w:bookmarkStart w:id="144" w:name="_Toc60825005"/>
      <w:bookmarkStart w:id="145" w:name="_Toc286391012"/>
      <w:bookmarkEnd w:id="117"/>
      <w:bookmarkEnd w:id="144"/>
      <w:r w:rsidR="0041574F">
        <w:t xml:space="preserve"> </w:t>
      </w:r>
      <w:r w:rsidR="000735DD" w:rsidRPr="00F13633">
        <w:rPr>
          <w:rFonts w:cs="Arial"/>
        </w:rPr>
        <w:t xml:space="preserve">parties </w:t>
      </w:r>
      <w:r w:rsidR="000735DD">
        <w:rPr>
          <w:rFonts w:cs="Arial"/>
        </w:rPr>
        <w:t xml:space="preserve">and members of the public </w:t>
      </w:r>
      <w:r w:rsidR="000735DD" w:rsidRPr="00F13633">
        <w:rPr>
          <w:rFonts w:cs="Arial"/>
        </w:rPr>
        <w:t xml:space="preserve">were notified about the public consultation period via the </w:t>
      </w:r>
      <w:r w:rsidR="000735DD">
        <w:rPr>
          <w:szCs w:val="22"/>
        </w:rPr>
        <w:t>FSANZ</w:t>
      </w:r>
      <w:r w:rsidR="000735DD" w:rsidRPr="00F13633">
        <w:rPr>
          <w:szCs w:val="22"/>
        </w:rPr>
        <w:t xml:space="preserve"> Notification Circular</w:t>
      </w:r>
      <w:r w:rsidR="000735DD">
        <w:rPr>
          <w:szCs w:val="22"/>
        </w:rPr>
        <w:t xml:space="preserve">, </w:t>
      </w:r>
      <w:r w:rsidR="000735DD">
        <w:rPr>
          <w:rFonts w:cs="Arial"/>
        </w:rPr>
        <w:t>a</w:t>
      </w:r>
      <w:r w:rsidR="000735DD" w:rsidRPr="00F13633">
        <w:rPr>
          <w:rFonts w:cs="Arial"/>
        </w:rPr>
        <w:t xml:space="preserve"> media release</w:t>
      </w:r>
      <w:r w:rsidR="000735DD">
        <w:rPr>
          <w:rFonts w:cs="Arial"/>
        </w:rPr>
        <w:t xml:space="preserve">, </w:t>
      </w:r>
      <w:r w:rsidR="000735DD" w:rsidRPr="00076C51">
        <w:t>FSANZ’s social media tools</w:t>
      </w:r>
      <w:r w:rsidR="000735DD" w:rsidRPr="00F13633">
        <w:rPr>
          <w:rFonts w:cs="Arial"/>
        </w:rPr>
        <w:t xml:space="preserve"> and Food Standards News. </w:t>
      </w:r>
    </w:p>
    <w:p w14:paraId="6E62ED1E" w14:textId="3B2DE4DB" w:rsidR="007B4B2D" w:rsidRDefault="004C401F" w:rsidP="002226DA">
      <w:pPr>
        <w:spacing w:before="120"/>
      </w:pPr>
      <w:r>
        <w:t xml:space="preserve">In its assessment and finalisation of this </w:t>
      </w:r>
      <w:r w:rsidR="009B777C">
        <w:t>P</w:t>
      </w:r>
      <w:r>
        <w:t xml:space="preserve">roposal, </w:t>
      </w:r>
      <w:r w:rsidR="000735DD" w:rsidRPr="007B4B2D">
        <w:t>FSANZ had regard to all submissions received</w:t>
      </w:r>
      <w:r>
        <w:t>.</w:t>
      </w:r>
    </w:p>
    <w:p w14:paraId="1BCC1619" w14:textId="11D0BB2B" w:rsidR="002C1A3B" w:rsidRPr="007B4B2D" w:rsidRDefault="000735DD" w:rsidP="007B4B2D">
      <w:pPr>
        <w:spacing w:before="120"/>
      </w:pPr>
      <w:r w:rsidRPr="007B4B2D">
        <w:t xml:space="preserve">FSANZ acknowledges the time taken by individuals and organisations </w:t>
      </w:r>
      <w:r w:rsidR="00996520" w:rsidRPr="007B4B2D">
        <w:t xml:space="preserve">to make </w:t>
      </w:r>
      <w:r w:rsidR="004C401F">
        <w:t xml:space="preserve">a </w:t>
      </w:r>
      <w:r w:rsidR="00996520" w:rsidRPr="007B4B2D">
        <w:t>submission</w:t>
      </w:r>
      <w:r w:rsidRPr="007B4B2D">
        <w:t xml:space="preserve">. All comments are valued and contribute to the rigour of our assessment. </w:t>
      </w:r>
    </w:p>
    <w:p w14:paraId="7F7878DF" w14:textId="712AA0C1" w:rsidR="002C1A3B" w:rsidRPr="000735DD" w:rsidRDefault="00C76679" w:rsidP="006339BD">
      <w:pPr>
        <w:pStyle w:val="Heading3"/>
      </w:pPr>
      <w:bookmarkStart w:id="146" w:name="_Toc370225391"/>
      <w:bookmarkStart w:id="147" w:name="_Toc100829778"/>
      <w:bookmarkStart w:id="148" w:name="_Toc103090820"/>
      <w:bookmarkStart w:id="149" w:name="_Toc103197713"/>
      <w:bookmarkStart w:id="150" w:name="_Toc175381455"/>
      <w:bookmarkEnd w:id="85"/>
      <w:bookmarkEnd w:id="86"/>
      <w:bookmarkEnd w:id="87"/>
      <w:bookmarkEnd w:id="88"/>
      <w:bookmarkEnd w:id="89"/>
      <w:bookmarkEnd w:id="90"/>
      <w:bookmarkEnd w:id="145"/>
      <w:r>
        <w:t>2.5</w:t>
      </w:r>
      <w:r w:rsidR="002C1A3B" w:rsidRPr="000735DD">
        <w:t>.2</w:t>
      </w:r>
      <w:r w:rsidR="002C1A3B" w:rsidRPr="000735DD">
        <w:tab/>
        <w:t>World Trade Organization (WTO)</w:t>
      </w:r>
      <w:bookmarkEnd w:id="146"/>
      <w:bookmarkEnd w:id="147"/>
      <w:bookmarkEnd w:id="148"/>
      <w:bookmarkEnd w:id="149"/>
    </w:p>
    <w:p w14:paraId="598D1DB1" w14:textId="393215AA" w:rsidR="000735DD" w:rsidRPr="002226DA" w:rsidRDefault="000735DD" w:rsidP="000735DD">
      <w:pPr>
        <w:rPr>
          <w:rFonts w:cs="Arial"/>
          <w:color w:val="000000"/>
        </w:rPr>
      </w:pPr>
      <w:bookmarkStart w:id="151" w:name="_Toc370223477"/>
      <w:bookmarkStart w:id="152" w:name="_Toc370225392"/>
      <w:bookmarkStart w:id="153" w:name="_Toc309291816"/>
      <w:bookmarkStart w:id="154" w:name="_Toc300933448"/>
      <w:bookmarkStart w:id="155" w:name="_Toc300933577"/>
      <w:bookmarkStart w:id="156" w:name="_Toc301535601"/>
      <w:bookmarkStart w:id="157" w:name="_Toc309385464"/>
      <w:bookmarkStart w:id="158" w:name="_Toc175381456"/>
      <w:bookmarkEnd w:id="150"/>
      <w:r w:rsidRPr="00DC6570">
        <w:rPr>
          <w:rFonts w:cs="Arial"/>
          <w:color w:val="000000"/>
        </w:rPr>
        <w:t>As members of the World Trade Organization (WTO), Australia and New Zealand are obliged to notify WTO member</w:t>
      </w:r>
      <w:r>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15B8E240" w14:textId="1F5328D3" w:rsidR="000735DD" w:rsidRPr="007472EE" w:rsidRDefault="000735DD" w:rsidP="002226DA">
      <w:pPr>
        <w:spacing w:before="120"/>
        <w:rPr>
          <w:rFonts w:cstheme="minorBidi"/>
        </w:rPr>
      </w:pPr>
      <w:r w:rsidRPr="009E248B">
        <w:rPr>
          <w:rFonts w:cs="Arial"/>
        </w:rPr>
        <w:t>There are no Codex, EU or US commodity standards for electrolyte drinks. Other than scientific opinion guiding health claims on ‘carbohydrate electrolyte solutions’ in the EU and exercise and fluid replacement in the US, there are currently no other relevant national food standards or regulations pertain</w:t>
      </w:r>
      <w:r w:rsidR="000A73E8">
        <w:rPr>
          <w:rFonts w:cs="Arial"/>
        </w:rPr>
        <w:t>ing to electrolyte d</w:t>
      </w:r>
      <w:r w:rsidR="00254971">
        <w:rPr>
          <w:rFonts w:cs="Arial"/>
        </w:rPr>
        <w:t>rinks (see S</w:t>
      </w:r>
      <w:r w:rsidRPr="009E248B">
        <w:rPr>
          <w:rFonts w:cs="Arial"/>
        </w:rPr>
        <w:t xml:space="preserve">ection 1.4 above). </w:t>
      </w:r>
      <w:r>
        <w:rPr>
          <w:rFonts w:cs="Arial"/>
        </w:rPr>
        <w:t>A</w:t>
      </w:r>
      <w:r w:rsidRPr="00EF1003">
        <w:rPr>
          <w:rFonts w:cs="Arial"/>
        </w:rPr>
        <w:t>mending the composition and labelli</w:t>
      </w:r>
      <w:r>
        <w:rPr>
          <w:rFonts w:cs="Arial"/>
        </w:rPr>
        <w:t xml:space="preserve">ng of electrolyte drinks in the Code </w:t>
      </w:r>
      <w:r w:rsidRPr="00DC6570">
        <w:rPr>
          <w:rFonts w:cs="Arial"/>
        </w:rPr>
        <w:t xml:space="preserve">is unlikely to </w:t>
      </w:r>
      <w:r>
        <w:rPr>
          <w:rFonts w:cs="Arial"/>
        </w:rPr>
        <w:t xml:space="preserve">create any unnecessary obstacles to and/or </w:t>
      </w:r>
      <w:r w:rsidRPr="00DC6570">
        <w:rPr>
          <w:rFonts w:cs="Arial"/>
        </w:rPr>
        <w:t xml:space="preserve">have a significant </w:t>
      </w:r>
      <w:r>
        <w:rPr>
          <w:rFonts w:cs="Arial"/>
        </w:rPr>
        <w:t xml:space="preserve">effect on international </w:t>
      </w:r>
      <w:r w:rsidRPr="00EF1003">
        <w:rPr>
          <w:rFonts w:cs="Arial"/>
        </w:rPr>
        <w:t>trade.</w:t>
      </w:r>
      <w:r>
        <w:rPr>
          <w:rFonts w:cs="Arial"/>
        </w:rPr>
        <w:t xml:space="preserve"> The </w:t>
      </w:r>
      <w:r>
        <w:t>mandatory prescribed name</w:t>
      </w:r>
      <w:r w:rsidRPr="004E1797">
        <w:t xml:space="preserve"> </w:t>
      </w:r>
      <w:r>
        <w:t xml:space="preserve">‘electrolyte drink’ is widely used voluntarily by international companies and the reduced carbohydrate compositional requirement will expand the potential category range for manufacturers. </w:t>
      </w:r>
      <w:r w:rsidRPr="002226DA">
        <w:rPr>
          <w:rFonts w:cs="Arial"/>
        </w:rPr>
        <w:t xml:space="preserve">Therefore, a notification to the WTO under </w:t>
      </w:r>
      <w:r w:rsidRPr="00E0529E">
        <w:rPr>
          <w:rFonts w:cs="Arial"/>
        </w:rPr>
        <w:t>Australia’s and New Zealand’s</w:t>
      </w:r>
      <w:r w:rsidRPr="002226DA">
        <w:rPr>
          <w:rFonts w:cs="Arial"/>
        </w:rPr>
        <w:t xml:space="preserve"> obligations under the WTO Technical Barriers to Trade Agreement was not deemed necessary.  </w:t>
      </w:r>
    </w:p>
    <w:p w14:paraId="3655884B" w14:textId="30F3D05C" w:rsidR="002C1A3B" w:rsidRPr="002C1A3B" w:rsidRDefault="00C76679" w:rsidP="00BE0316">
      <w:pPr>
        <w:pStyle w:val="Heading2"/>
        <w:spacing w:after="120"/>
      </w:pPr>
      <w:bookmarkStart w:id="159" w:name="_Toc100829779"/>
      <w:bookmarkStart w:id="160" w:name="_Toc103090821"/>
      <w:bookmarkStart w:id="161" w:name="_Toc103197714"/>
      <w:r>
        <w:lastRenderedPageBreak/>
        <w:t>2.6</w:t>
      </w:r>
      <w:r w:rsidR="002C1A3B" w:rsidRPr="002C1A3B">
        <w:tab/>
        <w:t>FSANZ Act assessment requirements</w:t>
      </w:r>
      <w:bookmarkEnd w:id="151"/>
      <w:bookmarkEnd w:id="152"/>
      <w:bookmarkEnd w:id="159"/>
      <w:bookmarkEnd w:id="160"/>
      <w:bookmarkEnd w:id="161"/>
    </w:p>
    <w:p w14:paraId="0A5A8036" w14:textId="1F16605B" w:rsidR="002C1A3B" w:rsidRPr="002C1A3B" w:rsidRDefault="00C76679" w:rsidP="00BE0316">
      <w:pPr>
        <w:pStyle w:val="Heading3"/>
        <w:spacing w:before="120" w:after="120"/>
      </w:pPr>
      <w:bookmarkStart w:id="162" w:name="_Toc370223478"/>
      <w:bookmarkStart w:id="163" w:name="_Toc370225393"/>
      <w:bookmarkStart w:id="164" w:name="_Toc100829780"/>
      <w:bookmarkStart w:id="165" w:name="_Toc103090822"/>
      <w:bookmarkStart w:id="166" w:name="_Toc103197715"/>
      <w:bookmarkEnd w:id="153"/>
      <w:bookmarkEnd w:id="154"/>
      <w:bookmarkEnd w:id="155"/>
      <w:bookmarkEnd w:id="156"/>
      <w:bookmarkEnd w:id="157"/>
      <w:r>
        <w:t>2.6</w:t>
      </w:r>
      <w:r w:rsidR="002C1A3B" w:rsidRPr="002C1A3B">
        <w:t>.1</w:t>
      </w:r>
      <w:r w:rsidR="002C1A3B" w:rsidRPr="002C1A3B">
        <w:tab/>
        <w:t xml:space="preserve">Section </w:t>
      </w:r>
      <w:r w:rsidR="002C1A3B" w:rsidRPr="000735DD">
        <w:t>59</w:t>
      </w:r>
      <w:bookmarkEnd w:id="162"/>
      <w:bookmarkEnd w:id="163"/>
      <w:bookmarkEnd w:id="164"/>
      <w:bookmarkEnd w:id="165"/>
      <w:bookmarkEnd w:id="166"/>
    </w:p>
    <w:p w14:paraId="3682CD0C" w14:textId="67559B98" w:rsidR="000735DD" w:rsidRDefault="00996520" w:rsidP="000735DD">
      <w:r>
        <w:t>When assessing this P</w:t>
      </w:r>
      <w:r w:rsidR="000735DD">
        <w:t>roposal</w:t>
      </w:r>
      <w:r w:rsidR="000735DD" w:rsidRPr="00CA42F7">
        <w:t xml:space="preserve"> and </w:t>
      </w:r>
      <w:r w:rsidR="006372C4">
        <w:t xml:space="preserve">in </w:t>
      </w:r>
      <w:r w:rsidR="000735DD" w:rsidRPr="00CA42F7">
        <w:t xml:space="preserve">the </w:t>
      </w:r>
      <w:r w:rsidR="006372C4">
        <w:t>development</w:t>
      </w:r>
      <w:r w:rsidR="000735DD" w:rsidRPr="00CA42F7">
        <w:t xml:space="preserve"> of a</w:t>
      </w:r>
      <w:r w:rsidR="006372C4">
        <w:t>n approved draft</w:t>
      </w:r>
      <w:r w:rsidR="000735DD" w:rsidRPr="00CA42F7">
        <w:t xml:space="preserve"> food regulatory</w:t>
      </w:r>
      <w:r w:rsidR="000735DD">
        <w:t xml:space="preserve"> </w:t>
      </w:r>
      <w:r w:rsidR="000735DD" w:rsidRPr="00CA42F7">
        <w:t>measure, FSANZ had regard to the following matters</w:t>
      </w:r>
      <w:r w:rsidR="000735DD">
        <w:t xml:space="preserve"> in section 59 of the FSANZ Act:</w:t>
      </w:r>
    </w:p>
    <w:p w14:paraId="4CF55EB9" w14:textId="01AEB12D" w:rsidR="002C1A3B" w:rsidRPr="002C1A3B" w:rsidRDefault="00C76679" w:rsidP="00BE0316">
      <w:pPr>
        <w:pStyle w:val="Heading4"/>
        <w:spacing w:after="120"/>
      </w:pPr>
      <w:r>
        <w:t>2.6</w:t>
      </w:r>
      <w:r w:rsidR="002C1A3B" w:rsidRPr="002C1A3B">
        <w:t>.1.1</w:t>
      </w:r>
      <w:r w:rsidR="002C1A3B" w:rsidRPr="002C1A3B">
        <w:tab/>
      </w:r>
      <w:r w:rsidR="00BF45A3">
        <w:t>Consideration of costs and</w:t>
      </w:r>
      <w:r w:rsidR="002C1A3B" w:rsidRPr="002C1A3B">
        <w:t xml:space="preserve"> benefit</w:t>
      </w:r>
      <w:r w:rsidR="00BF45A3">
        <w:t>s</w:t>
      </w:r>
    </w:p>
    <w:p w14:paraId="1DC5D7A5" w14:textId="145E0324" w:rsidR="006C4450" w:rsidRPr="00D74448" w:rsidRDefault="006C4450" w:rsidP="006C4450">
      <w:pPr>
        <w:widowControl/>
        <w:spacing w:before="120" w:after="120"/>
      </w:pPr>
      <w:r>
        <w:t xml:space="preserve">The direct and indirect benefits </w:t>
      </w:r>
      <w:r w:rsidRPr="00914030">
        <w:t>that would arise from a food regulatory measure develop</w:t>
      </w:r>
      <w:r>
        <w:t>e</w:t>
      </w:r>
      <w:r w:rsidR="00996520">
        <w:t>d or varied as a result of the P</w:t>
      </w:r>
      <w:r>
        <w:t xml:space="preserve">roposal, as amended, </w:t>
      </w:r>
      <w:r w:rsidRPr="00914030">
        <w:t xml:space="preserve">outweigh the </w:t>
      </w:r>
      <w:r>
        <w:t>costs to the community, g</w:t>
      </w:r>
      <w:r w:rsidRPr="00914030">
        <w:t xml:space="preserve">overnment </w:t>
      </w:r>
      <w:r>
        <w:t>and</w:t>
      </w:r>
      <w:r w:rsidRPr="00914030">
        <w:t xml:space="preserve"> industry that would arise from the development or variation</w:t>
      </w:r>
      <w:r>
        <w:t xml:space="preserve"> of the food regulatory measure.</w:t>
      </w:r>
    </w:p>
    <w:p w14:paraId="7C9D3DA6" w14:textId="7D88CC25" w:rsidR="006C4450" w:rsidRDefault="000735DD" w:rsidP="006C4450">
      <w:pPr>
        <w:spacing w:before="120"/>
        <w:rPr>
          <w:rFonts w:cs="Arial"/>
        </w:rPr>
      </w:pPr>
      <w:r w:rsidRPr="008121BF">
        <w:rPr>
          <w:rFonts w:cs="Arial"/>
        </w:rPr>
        <w:t>The Office of Best Practice Regulation (OBPR) granted FSANZ a</w:t>
      </w:r>
      <w:r>
        <w:rPr>
          <w:rFonts w:cs="Arial"/>
        </w:rPr>
        <w:t>n</w:t>
      </w:r>
      <w:r w:rsidRPr="008121BF">
        <w:rPr>
          <w:rFonts w:cs="Arial"/>
        </w:rPr>
        <w:t xml:space="preserve"> exemption from the requirement to develop a Regulation Impa</w:t>
      </w:r>
      <w:r w:rsidR="00996520">
        <w:rPr>
          <w:rFonts w:cs="Arial"/>
        </w:rPr>
        <w:t>ct Statement (RIS) for this P</w:t>
      </w:r>
      <w:r>
        <w:rPr>
          <w:rFonts w:cs="Arial"/>
        </w:rPr>
        <w:t>roposal</w:t>
      </w:r>
      <w:r w:rsidRPr="008121BF">
        <w:rPr>
          <w:rFonts w:cs="Arial"/>
        </w:rPr>
        <w:t xml:space="preserve"> (OBPR correspondence dated </w:t>
      </w:r>
      <w:r w:rsidR="008B10C3" w:rsidRPr="008B10C3">
        <w:rPr>
          <w:rFonts w:cs="Arial"/>
        </w:rPr>
        <w:t>14 May 2021</w:t>
      </w:r>
      <w:r w:rsidRPr="008121BF">
        <w:rPr>
          <w:rFonts w:cs="Arial"/>
        </w:rPr>
        <w:t>, OBPR ID:</w:t>
      </w:r>
      <w:r w:rsidR="008B10C3">
        <w:rPr>
          <w:rFonts w:cs="Arial"/>
        </w:rPr>
        <w:t>43269</w:t>
      </w:r>
      <w:r w:rsidRPr="008121BF">
        <w:rPr>
          <w:rFonts w:cs="Arial"/>
        </w:rPr>
        <w:t xml:space="preserve">). This exemption was provided as </w:t>
      </w:r>
      <w:r>
        <w:rPr>
          <w:rFonts w:cs="Arial"/>
        </w:rPr>
        <w:t>the</w:t>
      </w:r>
      <w:r w:rsidRPr="008121BF">
        <w:rPr>
          <w:rFonts w:cs="Arial"/>
        </w:rPr>
        <w:t xml:space="preserve"> OBPR assessed the </w:t>
      </w:r>
      <w:r>
        <w:rPr>
          <w:rFonts w:cs="Arial"/>
        </w:rPr>
        <w:t xml:space="preserve">currently proposed variation is deregulatory and the likely </w:t>
      </w:r>
      <w:r w:rsidRPr="008121BF">
        <w:rPr>
          <w:rFonts w:cs="Arial"/>
        </w:rPr>
        <w:t xml:space="preserve">impacts </w:t>
      </w:r>
      <w:r>
        <w:rPr>
          <w:rFonts w:cs="Arial"/>
        </w:rPr>
        <w:t>to only have a minor effect on consumers, businesses and government</w:t>
      </w:r>
      <w:r w:rsidRPr="008121BF">
        <w:rPr>
          <w:rFonts w:cs="Arial"/>
        </w:rPr>
        <w:t>.</w:t>
      </w:r>
    </w:p>
    <w:p w14:paraId="4B8F8184" w14:textId="77777777" w:rsidR="006C4450" w:rsidRPr="00694AC8" w:rsidRDefault="000735DD" w:rsidP="006C4450">
      <w:pPr>
        <w:widowControl/>
        <w:spacing w:before="120" w:after="120"/>
      </w:pPr>
      <w:r w:rsidRPr="00A55542">
        <w:rPr>
          <w:rFonts w:cs="Arial"/>
        </w:rPr>
        <w:t xml:space="preserve">FSANZ, however, has given consideration to the costs and benefits that may arise from the proposed measure for the purposes of meeting FSANZ Act considerations. </w:t>
      </w:r>
      <w:r>
        <w:rPr>
          <w:rFonts w:cs="Arial"/>
        </w:rPr>
        <w:t>T</w:t>
      </w:r>
      <w:r w:rsidRPr="00AA2EFF">
        <w:rPr>
          <w:rFonts w:cs="Arial"/>
        </w:rPr>
        <w:t xml:space="preserve">he FSANZ Act requires FSANZ to have regard to whether costs that would arise from the proposed measure outweigh the direct and indirect benefits to the community, government or industry that would arise </w:t>
      </w:r>
      <w:r>
        <w:rPr>
          <w:rFonts w:cs="Arial"/>
        </w:rPr>
        <w:t xml:space="preserve">from the proposed </w:t>
      </w:r>
      <w:r w:rsidRPr="00DB4672">
        <w:rPr>
          <w:rFonts w:cs="Arial"/>
        </w:rPr>
        <w:t xml:space="preserve">measure (paragraph 29(2)(a)). </w:t>
      </w:r>
      <w:r w:rsidR="006C4450" w:rsidRPr="00B21DA4">
        <w:rPr>
          <w:rFonts w:cs="Arial"/>
        </w:rPr>
        <w:t xml:space="preserve">The purpose of this consideration is to determine if the community, industry </w:t>
      </w:r>
      <w:r w:rsidR="006C4450">
        <w:rPr>
          <w:rFonts w:cs="Arial"/>
        </w:rPr>
        <w:t xml:space="preserve">and government </w:t>
      </w:r>
      <w:r w:rsidR="006C4450" w:rsidRPr="00B21DA4">
        <w:rPr>
          <w:rFonts w:cs="Arial"/>
        </w:rPr>
        <w:t xml:space="preserve">as a whole is likely to benefit, on balance, from </w:t>
      </w:r>
      <w:r w:rsidR="006C4450">
        <w:rPr>
          <w:rFonts w:cs="Arial"/>
        </w:rPr>
        <w:t xml:space="preserve">a change to the </w:t>
      </w:r>
      <w:r w:rsidR="006C4450" w:rsidRPr="00B21DA4">
        <w:rPr>
          <w:rFonts w:cs="Arial"/>
        </w:rPr>
        <w:t xml:space="preserve">status quo. This analysis considers </w:t>
      </w:r>
      <w:r w:rsidR="006C4450" w:rsidRPr="00D04815">
        <w:rPr>
          <w:rFonts w:cs="Arial"/>
        </w:rPr>
        <w:t>amending the current</w:t>
      </w:r>
      <w:r w:rsidR="006C4450">
        <w:rPr>
          <w:rFonts w:cs="Arial"/>
        </w:rPr>
        <w:t xml:space="preserve"> electrolyte drink </w:t>
      </w:r>
      <w:r w:rsidR="006C4450" w:rsidRPr="00D04815">
        <w:rPr>
          <w:rFonts w:cs="Arial"/>
        </w:rPr>
        <w:t>regulations</w:t>
      </w:r>
      <w:r w:rsidR="006C4450">
        <w:rPr>
          <w:rFonts w:cs="Arial"/>
        </w:rPr>
        <w:t xml:space="preserve"> in Standard 2.6.2</w:t>
      </w:r>
      <w:r w:rsidR="006C4450" w:rsidRPr="00D04815">
        <w:rPr>
          <w:rFonts w:cs="Arial"/>
        </w:rPr>
        <w:t>. FSANZ is of the view that no other realistic food regulatory measures exist</w:t>
      </w:r>
      <w:r w:rsidR="006C4450">
        <w:rPr>
          <w:rFonts w:cs="Arial"/>
        </w:rPr>
        <w:t xml:space="preserve"> at this point in time</w:t>
      </w:r>
      <w:r w:rsidR="006C4450" w:rsidRPr="00D04815">
        <w:rPr>
          <w:rFonts w:cs="Arial"/>
        </w:rPr>
        <w:t xml:space="preserve">, however information </w:t>
      </w:r>
      <w:r w:rsidR="006C4450" w:rsidRPr="00B21DA4">
        <w:rPr>
          <w:rFonts w:cs="Arial"/>
        </w:rPr>
        <w:t>received may result in FSANZ arriving at a different outcome</w:t>
      </w:r>
      <w:r w:rsidR="006C4450">
        <w:t>. T</w:t>
      </w:r>
      <w:r w:rsidR="006C4450" w:rsidRPr="00694AC8">
        <w:t xml:space="preserve">he </w:t>
      </w:r>
      <w:r w:rsidR="006C4450">
        <w:t xml:space="preserve">classification of electrolyte drinks and the transfer </w:t>
      </w:r>
      <w:r w:rsidR="006C4450" w:rsidRPr="00694AC8">
        <w:t>of</w:t>
      </w:r>
      <w:r w:rsidR="006C4450">
        <w:t xml:space="preserve"> these provisions within the Code may be</w:t>
      </w:r>
      <w:r w:rsidR="006C4450" w:rsidRPr="00694AC8">
        <w:t xml:space="preserve"> </w:t>
      </w:r>
      <w:r w:rsidR="006C4450">
        <w:t xml:space="preserve">further </w:t>
      </w:r>
      <w:r w:rsidR="006C4450" w:rsidRPr="00694AC8">
        <w:t>consider</w:t>
      </w:r>
      <w:r w:rsidR="006C4450">
        <w:t>ed under</w:t>
      </w:r>
      <w:r w:rsidR="006C4450" w:rsidRPr="00694AC8">
        <w:t xml:space="preserve"> P1010.</w:t>
      </w:r>
    </w:p>
    <w:p w14:paraId="273EEDF9" w14:textId="42B13982" w:rsidR="00BE0316" w:rsidRDefault="006C4450" w:rsidP="00BE0316">
      <w:pPr>
        <w:widowControl/>
        <w:spacing w:before="120"/>
        <w:rPr>
          <w:rFonts w:cs="Arial"/>
        </w:rPr>
      </w:pPr>
      <w:r w:rsidRPr="00B21DA4">
        <w:rPr>
          <w:rFonts w:cs="Arial"/>
        </w:rPr>
        <w:t xml:space="preserve">The consideration of the costs and benefits in this </w:t>
      </w:r>
      <w:r w:rsidR="00254971">
        <w:rPr>
          <w:rFonts w:cs="Arial"/>
        </w:rPr>
        <w:t>S</w:t>
      </w:r>
      <w:r w:rsidRPr="00B21DA4">
        <w:rPr>
          <w:rFonts w:cs="Arial"/>
        </w:rPr>
        <w:t xml:space="preserve">ection </w:t>
      </w:r>
      <w:r>
        <w:t>of this Consultation paper</w:t>
      </w:r>
      <w:r w:rsidRPr="00B21DA4">
        <w:rPr>
          <w:rFonts w:cs="Arial"/>
        </w:rPr>
        <w:t xml:space="preserve"> is not intended to be an exhaustive, quantitative economic analysis of the proposed </w:t>
      </w:r>
      <w:r>
        <w:rPr>
          <w:rFonts w:cs="Arial"/>
        </w:rPr>
        <w:t>amendments</w:t>
      </w:r>
      <w:r w:rsidRPr="00B21DA4">
        <w:rPr>
          <w:rFonts w:cs="Arial"/>
        </w:rPr>
        <w:t xml:space="preserve"> and, in fact, most of the effects that were considered cannot easily be assigned a dollar value. Rather, the assessment seeks to highlight the likely positives and negatives of </w:t>
      </w:r>
      <w:r>
        <w:rPr>
          <w:rFonts w:cs="Arial"/>
        </w:rPr>
        <w:t>amending the current electrolyte drink regulations.</w:t>
      </w:r>
    </w:p>
    <w:p w14:paraId="7E9C31F3" w14:textId="7BCA469E" w:rsidR="006C4450" w:rsidRDefault="006C4450" w:rsidP="00415138">
      <w:pPr>
        <w:spacing w:before="120" w:after="120"/>
        <w:rPr>
          <w:rFonts w:cs="Arial"/>
          <w:i/>
        </w:rPr>
      </w:pPr>
      <w:r>
        <w:rPr>
          <w:rFonts w:cs="Arial"/>
          <w:i/>
        </w:rPr>
        <w:t>Consumers</w:t>
      </w:r>
    </w:p>
    <w:p w14:paraId="5F4EA3D3" w14:textId="5160A982" w:rsidR="006C4DF0" w:rsidRDefault="006C4450" w:rsidP="006C4DF0">
      <w:pPr>
        <w:rPr>
          <w:rFonts w:cs="Arial"/>
        </w:rPr>
      </w:pPr>
      <w:r w:rsidRPr="006C4DF0">
        <w:rPr>
          <w:rFonts w:cs="Arial"/>
        </w:rPr>
        <w:t xml:space="preserve">FSANZ </w:t>
      </w:r>
      <w:r w:rsidRPr="00482DC3">
        <w:rPr>
          <w:rFonts w:cs="Arial"/>
        </w:rPr>
        <w:t xml:space="preserve">considers the </w:t>
      </w:r>
      <w:r>
        <w:rPr>
          <w:rFonts w:cs="Arial"/>
        </w:rPr>
        <w:t xml:space="preserve">revised labelling requirements </w:t>
      </w:r>
      <w:r w:rsidR="004C401F">
        <w:rPr>
          <w:rFonts w:cs="Arial"/>
        </w:rPr>
        <w:t xml:space="preserve">will better enable </w:t>
      </w:r>
      <w:r w:rsidRPr="00482DC3">
        <w:rPr>
          <w:rFonts w:cs="Arial"/>
        </w:rPr>
        <w:t xml:space="preserve">consumers </w:t>
      </w:r>
      <w:r w:rsidR="004C401F">
        <w:rPr>
          <w:rFonts w:cs="Arial"/>
        </w:rPr>
        <w:t xml:space="preserve">to make informed </w:t>
      </w:r>
      <w:r>
        <w:rPr>
          <w:rFonts w:cs="Arial"/>
        </w:rPr>
        <w:t>decision</w:t>
      </w:r>
      <w:r w:rsidR="004C401F">
        <w:rPr>
          <w:rFonts w:cs="Arial"/>
        </w:rPr>
        <w:t>s</w:t>
      </w:r>
      <w:r>
        <w:rPr>
          <w:rFonts w:cs="Arial"/>
        </w:rPr>
        <w:t xml:space="preserve"> </w:t>
      </w:r>
      <w:r w:rsidR="004C401F">
        <w:rPr>
          <w:rFonts w:cs="Arial"/>
        </w:rPr>
        <w:t>and access greater</w:t>
      </w:r>
      <w:r>
        <w:rPr>
          <w:rFonts w:cs="Arial"/>
        </w:rPr>
        <w:t xml:space="preserve"> choice (i.e. more healthier options) within the electrolyte drink category</w:t>
      </w:r>
      <w:r w:rsidRPr="004401A0">
        <w:rPr>
          <w:rFonts w:cs="Arial"/>
        </w:rPr>
        <w:t xml:space="preserve">. </w:t>
      </w:r>
      <w:r w:rsidRPr="006C4DF0">
        <w:rPr>
          <w:rFonts w:cs="Arial"/>
        </w:rPr>
        <w:t xml:space="preserve">FSANZ also considers the requirement to refer to 60 minutes or more of strenuous physical activity when making a permitted health claim would aid consumers, in both the target and non-target groups, to identify the specific conditions under which electrolyte drink products should be consumed. </w:t>
      </w:r>
    </w:p>
    <w:p w14:paraId="524D78C3" w14:textId="3DEE6B6E" w:rsidR="000735DD" w:rsidRPr="005A5FDE" w:rsidRDefault="000735DD" w:rsidP="00415138">
      <w:pPr>
        <w:spacing w:before="120" w:after="120"/>
        <w:rPr>
          <w:rFonts w:cs="Arial"/>
          <w:i/>
        </w:rPr>
      </w:pPr>
      <w:r w:rsidRPr="005A5FDE">
        <w:rPr>
          <w:rFonts w:cs="Arial"/>
          <w:i/>
        </w:rPr>
        <w:t>Industry</w:t>
      </w:r>
    </w:p>
    <w:p w14:paraId="068359FC" w14:textId="47D6AF25" w:rsidR="00886F17" w:rsidRDefault="006C4450" w:rsidP="00BA08CA">
      <w:pPr>
        <w:widowControl/>
        <w:spacing w:before="120" w:after="120"/>
        <w:rPr>
          <w:rFonts w:cs="Arial"/>
        </w:rPr>
      </w:pPr>
      <w:r w:rsidRPr="004401A0">
        <w:rPr>
          <w:rFonts w:cs="Arial"/>
        </w:rPr>
        <w:t xml:space="preserve">The proposed amendment to reduce the prescribed minimum </w:t>
      </w:r>
      <w:r>
        <w:rPr>
          <w:rFonts w:cs="Arial"/>
          <w:lang w:eastAsia="en-AU"/>
        </w:rPr>
        <w:t>carbohydrate</w:t>
      </w:r>
      <w:r w:rsidRPr="004401A0">
        <w:rPr>
          <w:rFonts w:cs="Arial"/>
          <w:lang w:eastAsia="en-AU"/>
        </w:rPr>
        <w:t xml:space="preserve"> amount from 50 g/L to 20 g/L</w:t>
      </w:r>
      <w:r>
        <w:rPr>
          <w:rFonts w:cs="Arial"/>
          <w:lang w:eastAsia="en-AU"/>
        </w:rPr>
        <w:t>,</w:t>
      </w:r>
      <w:r w:rsidRPr="004401A0">
        <w:rPr>
          <w:rFonts w:cs="Arial"/>
          <w:lang w:eastAsia="en-AU"/>
        </w:rPr>
        <w:t xml:space="preserve"> consistent with</w:t>
      </w:r>
      <w:r>
        <w:rPr>
          <w:rFonts w:cs="Arial"/>
          <w:lang w:eastAsia="en-AU"/>
        </w:rPr>
        <w:t xml:space="preserve"> the</w:t>
      </w:r>
      <w:r w:rsidRPr="004401A0">
        <w:rPr>
          <w:rFonts w:cs="Arial"/>
          <w:lang w:eastAsia="en-AU"/>
        </w:rPr>
        <w:t xml:space="preserve"> assessed scientific evidence</w:t>
      </w:r>
      <w:r>
        <w:rPr>
          <w:rFonts w:cs="Arial"/>
          <w:lang w:eastAsia="en-AU"/>
        </w:rPr>
        <w:t>,</w:t>
      </w:r>
      <w:r w:rsidRPr="004401A0">
        <w:rPr>
          <w:rFonts w:cs="Arial"/>
          <w:lang w:eastAsia="en-AU"/>
        </w:rPr>
        <w:t xml:space="preserve"> </w:t>
      </w:r>
      <w:r>
        <w:rPr>
          <w:rFonts w:cs="Arial"/>
          <w:lang w:eastAsia="en-AU"/>
        </w:rPr>
        <w:t>would</w:t>
      </w:r>
      <w:r w:rsidRPr="004401A0">
        <w:rPr>
          <w:rFonts w:cs="Arial"/>
          <w:lang w:eastAsia="en-AU"/>
        </w:rPr>
        <w:t xml:space="preserve"> </w:t>
      </w:r>
      <w:r>
        <w:rPr>
          <w:rFonts w:cs="Arial"/>
          <w:lang w:eastAsia="en-AU"/>
        </w:rPr>
        <w:t>provide the beverage industry with the opportunity to innovate</w:t>
      </w:r>
      <w:r w:rsidRPr="004401A0">
        <w:rPr>
          <w:rFonts w:cs="Arial"/>
          <w:lang w:eastAsia="en-AU"/>
        </w:rPr>
        <w:t xml:space="preserve"> with </w:t>
      </w:r>
      <w:r>
        <w:rPr>
          <w:rFonts w:cs="Arial"/>
          <w:lang w:eastAsia="en-AU"/>
        </w:rPr>
        <w:t xml:space="preserve">lower carbohydrate electrolyte drinks within this </w:t>
      </w:r>
      <w:r w:rsidRPr="004401A0">
        <w:rPr>
          <w:rFonts w:cs="Arial"/>
          <w:lang w:eastAsia="en-AU"/>
        </w:rPr>
        <w:t xml:space="preserve">category. </w:t>
      </w:r>
      <w:r>
        <w:rPr>
          <w:rFonts w:cs="Arial"/>
          <w:lang w:eastAsia="en-AU"/>
        </w:rPr>
        <w:t>The amended draft variation is less prescriptive and allows more pre</w:t>
      </w:r>
      <w:r w:rsidR="00415138">
        <w:rPr>
          <w:rFonts w:cs="Arial"/>
          <w:lang w:eastAsia="en-AU"/>
        </w:rPr>
        <w:t>-</w:t>
      </w:r>
      <w:r>
        <w:rPr>
          <w:rFonts w:cs="Arial"/>
          <w:lang w:eastAsia="en-AU"/>
        </w:rPr>
        <w:t xml:space="preserve">approved health claims </w:t>
      </w:r>
      <w:r w:rsidRPr="000A394A">
        <w:rPr>
          <w:rFonts w:cs="Arial"/>
          <w:lang w:eastAsia="en-AU"/>
        </w:rPr>
        <w:t xml:space="preserve">about hydration and performance </w:t>
      </w:r>
      <w:r>
        <w:rPr>
          <w:rFonts w:cs="Arial"/>
          <w:lang w:eastAsia="en-AU"/>
        </w:rPr>
        <w:t xml:space="preserve">than are currently permitted, and </w:t>
      </w:r>
      <w:r w:rsidR="002B1446">
        <w:rPr>
          <w:rFonts w:cs="Arial"/>
          <w:lang w:eastAsia="en-AU"/>
        </w:rPr>
        <w:t xml:space="preserve">these </w:t>
      </w:r>
      <w:r>
        <w:rPr>
          <w:rFonts w:cs="Arial"/>
          <w:lang w:eastAsia="en-AU"/>
        </w:rPr>
        <w:t xml:space="preserve">do not require self-substantiation which can be a costly undertaking for industry. It would also identify which substances are electrolytes and regulate electrolyte content claims. A prescribed name would be required. Electrolyte drink manufacturers are already required to </w:t>
      </w:r>
      <w:r>
        <w:rPr>
          <w:rFonts w:cs="Arial"/>
        </w:rPr>
        <w:t xml:space="preserve">include a name or description to indicate the true nature of the product – the term ‘electrolyte drink’ is often used. </w:t>
      </w:r>
    </w:p>
    <w:p w14:paraId="204DD632" w14:textId="17D7C558" w:rsidR="006C4450" w:rsidRPr="00415138" w:rsidRDefault="00415138" w:rsidP="00415138">
      <w:pPr>
        <w:widowControl/>
        <w:spacing w:before="120" w:after="120"/>
        <w:rPr>
          <w:rFonts w:cs="Arial"/>
          <w:lang w:eastAsia="en-AU"/>
        </w:rPr>
      </w:pPr>
      <w:r>
        <w:rPr>
          <w:rFonts w:cs="Arial"/>
        </w:rPr>
        <w:lastRenderedPageBreak/>
        <w:t>The proposed amendments may</w:t>
      </w:r>
      <w:r w:rsidR="00886F17">
        <w:rPr>
          <w:rFonts w:cs="Arial"/>
        </w:rPr>
        <w:t xml:space="preserve"> require </w:t>
      </w:r>
      <w:r w:rsidR="00886F17" w:rsidRPr="00BA08CA">
        <w:rPr>
          <w:rFonts w:cs="Arial"/>
        </w:rPr>
        <w:t xml:space="preserve">other </w:t>
      </w:r>
      <w:r w:rsidR="00886F17">
        <w:rPr>
          <w:rFonts w:cs="Arial"/>
        </w:rPr>
        <w:t>label changes</w:t>
      </w:r>
      <w:r w:rsidR="00886F17" w:rsidRPr="00BA08CA">
        <w:rPr>
          <w:rFonts w:cs="Arial"/>
        </w:rPr>
        <w:t xml:space="preserve"> in addition to </w:t>
      </w:r>
      <w:r>
        <w:rPr>
          <w:rFonts w:cs="Arial"/>
        </w:rPr>
        <w:t xml:space="preserve">the </w:t>
      </w:r>
      <w:r w:rsidR="00886F17" w:rsidRPr="00BA08CA">
        <w:rPr>
          <w:rFonts w:cs="Arial"/>
        </w:rPr>
        <w:t>prescribe</w:t>
      </w:r>
      <w:r w:rsidR="004500B8" w:rsidRPr="00BA08CA">
        <w:rPr>
          <w:rFonts w:cs="Arial"/>
        </w:rPr>
        <w:t xml:space="preserve">d name, </w:t>
      </w:r>
      <w:r w:rsidR="00886F17" w:rsidRPr="00BA08CA">
        <w:rPr>
          <w:rFonts w:cs="Arial"/>
        </w:rPr>
        <w:t xml:space="preserve">associated with changes to nutrition and health claims and potentially NIPs </w:t>
      </w:r>
      <w:r w:rsidR="004500B8" w:rsidRPr="00BA08CA">
        <w:rPr>
          <w:rFonts w:cs="Arial"/>
        </w:rPr>
        <w:t>as well</w:t>
      </w:r>
      <w:r w:rsidR="00330D74" w:rsidRPr="00BA08CA">
        <w:rPr>
          <w:rFonts w:cs="Arial"/>
        </w:rPr>
        <w:t>.</w:t>
      </w:r>
      <w:r w:rsidR="00BA08CA">
        <w:t xml:space="preserve"> </w:t>
      </w:r>
      <w:r w:rsidR="00330D74">
        <w:t xml:space="preserve">Therefore, </w:t>
      </w:r>
      <w:r w:rsidR="00330D74">
        <w:rPr>
          <w:rFonts w:cs="Arial"/>
          <w:lang w:eastAsia="en-AU"/>
        </w:rPr>
        <w:t xml:space="preserve">after public consultation in 2021 </w:t>
      </w:r>
      <w:r w:rsidR="00490C0A">
        <w:rPr>
          <w:rFonts w:cs="Arial"/>
          <w:lang w:eastAsia="en-AU"/>
        </w:rPr>
        <w:t xml:space="preserve">it has been decided to extend the proposed transition period from 12 months to 24 months to minimise industry label change costs. </w:t>
      </w:r>
    </w:p>
    <w:p w14:paraId="121914C8" w14:textId="77777777" w:rsidR="000735DD" w:rsidRPr="00415138" w:rsidRDefault="000735DD" w:rsidP="00415138">
      <w:pPr>
        <w:spacing w:before="120" w:after="120"/>
        <w:rPr>
          <w:rFonts w:cs="Arial"/>
          <w:i/>
        </w:rPr>
      </w:pPr>
      <w:r w:rsidRPr="00415138">
        <w:rPr>
          <w:rFonts w:cs="Arial"/>
          <w:i/>
        </w:rPr>
        <w:t>Government</w:t>
      </w:r>
    </w:p>
    <w:p w14:paraId="744468E2" w14:textId="3CA73CAB" w:rsidR="000735DD" w:rsidRDefault="000735DD" w:rsidP="000735DD">
      <w:r>
        <w:rPr>
          <w:lang w:bidi="ar-SA"/>
        </w:rPr>
        <w:t xml:space="preserve">The proposed mandatory prescribed name would assist enforcement agencies to identify </w:t>
      </w:r>
      <w:r w:rsidR="00A4171C">
        <w:rPr>
          <w:lang w:bidi="ar-SA"/>
        </w:rPr>
        <w:t>electrolyte drink</w:t>
      </w:r>
      <w:r>
        <w:rPr>
          <w:lang w:bidi="ar-SA"/>
        </w:rPr>
        <w:t xml:space="preserve"> products from other water-based beverages. Approving this amended draft variation would therefore provide greater regulatory certainty and may reduce overall enforceme</w:t>
      </w:r>
      <w:r w:rsidR="00A4171C">
        <w:rPr>
          <w:lang w:bidi="ar-SA"/>
        </w:rPr>
        <w:t>nt costs, although more electrolyte drink</w:t>
      </w:r>
      <w:r>
        <w:rPr>
          <w:lang w:bidi="ar-SA"/>
        </w:rPr>
        <w:t xml:space="preserve">s may need to be monitored for compliance. </w:t>
      </w:r>
    </w:p>
    <w:p w14:paraId="7F78AC85" w14:textId="0AE820EC" w:rsidR="000735DD" w:rsidRPr="00415138" w:rsidRDefault="000735DD" w:rsidP="00415138">
      <w:pPr>
        <w:spacing w:before="120" w:after="120"/>
        <w:rPr>
          <w:rFonts w:cs="Arial"/>
          <w:i/>
        </w:rPr>
      </w:pPr>
      <w:r w:rsidRPr="00415138">
        <w:rPr>
          <w:rFonts w:cs="Arial"/>
          <w:i/>
        </w:rPr>
        <w:t>Conclusions from cost benefit considerations</w:t>
      </w:r>
    </w:p>
    <w:p w14:paraId="537F656C" w14:textId="7B2154CD" w:rsidR="000735DD" w:rsidRPr="002C1A3B" w:rsidRDefault="000735DD" w:rsidP="000735DD">
      <w:r>
        <w:rPr>
          <w:lang w:val="en-AU"/>
        </w:rPr>
        <w:t>FSANZ’s assessment is that the direct and indirect benefits that would arise from approving the amended draft variation, are likely to outweigh the associated costs to the community, government and industry.</w:t>
      </w:r>
    </w:p>
    <w:p w14:paraId="35D59A13" w14:textId="7130D320" w:rsidR="0099623A" w:rsidRPr="006C4450" w:rsidRDefault="000735DD" w:rsidP="006C4450">
      <w:pPr>
        <w:spacing w:before="120"/>
        <w:rPr>
          <w:rFonts w:cs="Arial"/>
        </w:rPr>
      </w:pPr>
      <w:r>
        <w:rPr>
          <w:rFonts w:cs="Arial"/>
        </w:rPr>
        <w:t xml:space="preserve">Information on the market value and volume of sports drinks is provided at </w:t>
      </w:r>
      <w:r w:rsidR="002226DA">
        <w:rPr>
          <w:rFonts w:cs="Arial"/>
        </w:rPr>
        <w:t>Supporting Document 2 of this R</w:t>
      </w:r>
      <w:r w:rsidR="006C4450">
        <w:rPr>
          <w:rFonts w:cs="Arial"/>
        </w:rPr>
        <w:t xml:space="preserve">eport. </w:t>
      </w:r>
    </w:p>
    <w:p w14:paraId="1D6C8FD7" w14:textId="7BAFEAFD" w:rsidR="002C1A3B" w:rsidRPr="002C1A3B" w:rsidRDefault="00C76679" w:rsidP="00BE0316">
      <w:pPr>
        <w:pStyle w:val="Heading4"/>
        <w:spacing w:after="120"/>
      </w:pPr>
      <w:r>
        <w:t>2.6</w:t>
      </w:r>
      <w:r w:rsidR="002C1A3B" w:rsidRPr="002C1A3B">
        <w:t>.1.2</w:t>
      </w:r>
      <w:r w:rsidR="002C1A3B" w:rsidRPr="002C1A3B">
        <w:tab/>
        <w:t>Other measures</w:t>
      </w:r>
    </w:p>
    <w:p w14:paraId="68D6FD99" w14:textId="0E55F13B" w:rsidR="002C1A3B" w:rsidRPr="00467A8F" w:rsidRDefault="00510A46" w:rsidP="002C1A3B">
      <w:r>
        <w:t>FSANZ is not aware of any</w:t>
      </w:r>
      <w:r w:rsidR="002C1A3B" w:rsidRPr="002C1A3B">
        <w:t xml:space="preserve"> other measures (whether available to FSANZ or not) that would be more cost-effective than a food regulatory measure developed or varied as a result of the </w:t>
      </w:r>
      <w:r w:rsidR="002C1A3B" w:rsidRPr="00467A8F">
        <w:t>Proposal</w:t>
      </w:r>
      <w:r w:rsidR="002226DA" w:rsidRPr="00467A8F">
        <w:t>.</w:t>
      </w:r>
    </w:p>
    <w:p w14:paraId="1ACBD643" w14:textId="133C5E85" w:rsidR="002C1A3B" w:rsidRPr="002C1A3B" w:rsidRDefault="00C76679" w:rsidP="00BE0316">
      <w:pPr>
        <w:pStyle w:val="Heading4"/>
        <w:spacing w:after="120"/>
      </w:pPr>
      <w:r>
        <w:t>2.6</w:t>
      </w:r>
      <w:r w:rsidR="002C1A3B" w:rsidRPr="002C1A3B">
        <w:t>.1.3</w:t>
      </w:r>
      <w:r w:rsidR="002C1A3B" w:rsidRPr="002C1A3B">
        <w:tab/>
        <w:t>Any relevant New Zealand standards</w:t>
      </w:r>
    </w:p>
    <w:p w14:paraId="18E78F99" w14:textId="4108A915" w:rsidR="002C1A3B" w:rsidRPr="002C1A3B" w:rsidRDefault="00510A46" w:rsidP="002C1A3B">
      <w:pPr>
        <w:rPr>
          <w:lang w:bidi="ar-SA"/>
        </w:rPr>
      </w:pPr>
      <w:r>
        <w:rPr>
          <w:lang w:bidi="ar-SA"/>
        </w:rPr>
        <w:t>The</w:t>
      </w:r>
      <w:r w:rsidRPr="002C1A3B">
        <w:rPr>
          <w:lang w:bidi="ar-SA"/>
        </w:rPr>
        <w:t xml:space="preserve"> relevant</w:t>
      </w:r>
      <w:r>
        <w:rPr>
          <w:lang w:bidi="ar-SA"/>
        </w:rPr>
        <w:t xml:space="preserve"> Standards apply in both Australia and</w:t>
      </w:r>
      <w:r w:rsidRPr="002C1A3B">
        <w:rPr>
          <w:lang w:bidi="ar-SA"/>
        </w:rPr>
        <w:t xml:space="preserve"> New Zealand</w:t>
      </w:r>
      <w:r>
        <w:rPr>
          <w:lang w:bidi="ar-SA"/>
        </w:rPr>
        <w:t xml:space="preserve">. </w:t>
      </w:r>
      <w:r w:rsidR="002C1A3B" w:rsidRPr="002C1A3B">
        <w:rPr>
          <w:lang w:bidi="ar-SA"/>
        </w:rPr>
        <w:t>There are no relevant New Zealand Standards.</w:t>
      </w:r>
    </w:p>
    <w:p w14:paraId="067CB076" w14:textId="26B3C982" w:rsidR="002C1A3B" w:rsidRPr="002C1A3B" w:rsidRDefault="00C76679" w:rsidP="00BE0316">
      <w:pPr>
        <w:pStyle w:val="Heading4"/>
        <w:spacing w:after="120"/>
      </w:pPr>
      <w:r>
        <w:t>2.6</w:t>
      </w:r>
      <w:r w:rsidR="002C1A3B" w:rsidRPr="002C1A3B">
        <w:t>.1.4</w:t>
      </w:r>
      <w:r w:rsidR="002C1A3B" w:rsidRPr="002C1A3B">
        <w:tab/>
        <w:t>Any other relevant matters</w:t>
      </w:r>
    </w:p>
    <w:p w14:paraId="689F94BD" w14:textId="45379821" w:rsidR="001F7F63" w:rsidRDefault="001F7F63" w:rsidP="001F7F63">
      <w:bookmarkStart w:id="167" w:name="_Toc370223479"/>
      <w:bookmarkStart w:id="168" w:name="_Toc370225394"/>
      <w:bookmarkStart w:id="169" w:name="_Toc300761897"/>
      <w:bookmarkStart w:id="170" w:name="_Toc300933440"/>
      <w:r>
        <w:t>Other relevant matters are considered below</w:t>
      </w:r>
      <w:r>
        <w:rPr>
          <w:lang w:bidi="ar-SA"/>
        </w:rPr>
        <w:t>.</w:t>
      </w:r>
      <w:r>
        <w:t xml:space="preserve"> </w:t>
      </w:r>
    </w:p>
    <w:p w14:paraId="4D1A10DE" w14:textId="1F7A460A" w:rsidR="002C1A3B" w:rsidRPr="006339BD" w:rsidRDefault="002C1A3B" w:rsidP="006339BD">
      <w:pPr>
        <w:pStyle w:val="Heading3"/>
        <w:spacing w:before="120" w:after="120"/>
      </w:pPr>
      <w:bookmarkStart w:id="171" w:name="_Toc100829781"/>
      <w:bookmarkStart w:id="172" w:name="_Toc103090823"/>
      <w:bookmarkStart w:id="173" w:name="_Toc103197716"/>
      <w:r w:rsidRPr="006339BD">
        <w:t>2.</w:t>
      </w:r>
      <w:r w:rsidR="00E65863" w:rsidRPr="006339BD">
        <w:t>6</w:t>
      </w:r>
      <w:r w:rsidR="00C31151" w:rsidRPr="006339BD">
        <w:t>.2</w:t>
      </w:r>
      <w:r w:rsidRPr="006339BD">
        <w:tab/>
        <w:t>Subsection 18(1)</w:t>
      </w:r>
      <w:bookmarkEnd w:id="167"/>
      <w:bookmarkEnd w:id="168"/>
      <w:bookmarkEnd w:id="171"/>
      <w:bookmarkEnd w:id="172"/>
      <w:bookmarkEnd w:id="173"/>
      <w:r w:rsidRPr="006339BD">
        <w:t xml:space="preserve"> </w:t>
      </w:r>
      <w:bookmarkEnd w:id="169"/>
      <w:bookmarkEnd w:id="170"/>
    </w:p>
    <w:p w14:paraId="7C05F84D"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0C139225" w14:textId="395FA5A8" w:rsidR="002C1A3B" w:rsidRPr="002C1A3B" w:rsidRDefault="00C76679" w:rsidP="00BE0316">
      <w:pPr>
        <w:pStyle w:val="Heading4"/>
        <w:spacing w:after="120"/>
        <w:rPr>
          <w:lang w:eastAsia="en-AU"/>
        </w:rPr>
      </w:pPr>
      <w:bookmarkStart w:id="174" w:name="_Toc297029117"/>
      <w:bookmarkStart w:id="175" w:name="_Toc300761898"/>
      <w:bookmarkStart w:id="176" w:name="_Toc300933441"/>
      <w:r>
        <w:rPr>
          <w:lang w:eastAsia="en-AU"/>
        </w:rPr>
        <w:t>2.</w:t>
      </w:r>
      <w:r w:rsidR="00E65863">
        <w:rPr>
          <w:lang w:eastAsia="en-AU"/>
        </w:rPr>
        <w:t>6</w:t>
      </w:r>
      <w:r w:rsidR="002C1A3B" w:rsidRPr="002C1A3B">
        <w:rPr>
          <w:lang w:eastAsia="en-AU"/>
        </w:rPr>
        <w:t>.2.1</w:t>
      </w:r>
      <w:r w:rsidR="002C1A3B" w:rsidRPr="002C1A3B">
        <w:rPr>
          <w:lang w:eastAsia="en-AU"/>
        </w:rPr>
        <w:tab/>
        <w:t>Protection of public health and safety</w:t>
      </w:r>
      <w:bookmarkEnd w:id="174"/>
      <w:bookmarkEnd w:id="175"/>
      <w:bookmarkEnd w:id="176"/>
    </w:p>
    <w:p w14:paraId="02AB312A" w14:textId="7A6F0B01" w:rsidR="00510A46" w:rsidRPr="004660F3" w:rsidRDefault="00510A46" w:rsidP="00510A46">
      <w:pPr>
        <w:pStyle w:val="Heading4"/>
        <w:keepNext w:val="0"/>
        <w:widowControl/>
        <w:spacing w:before="120" w:after="120"/>
        <w:ind w:left="0" w:firstLine="0"/>
        <w:rPr>
          <w:b w:val="0"/>
          <w:i w:val="0"/>
        </w:rPr>
      </w:pPr>
      <w:r>
        <w:rPr>
          <w:b w:val="0"/>
          <w:i w:val="0"/>
          <w:lang w:eastAsia="en-AU"/>
        </w:rPr>
        <w:t>The consumption of electrolyte drinks represents only a small proportion of the total consumption of sugar sweetened beverages. Nonetheless, FSANZ recognises sugar sweetened beverages are a contributing factor to adverse health outcomes. T</w:t>
      </w:r>
      <w:r w:rsidRPr="004660F3">
        <w:rPr>
          <w:b w:val="0"/>
          <w:i w:val="0"/>
        </w:rPr>
        <w:t>he fol</w:t>
      </w:r>
      <w:r>
        <w:rPr>
          <w:b w:val="0"/>
          <w:i w:val="0"/>
        </w:rPr>
        <w:t>lowing proposed amendments will</w:t>
      </w:r>
      <w:r w:rsidRPr="004660F3">
        <w:rPr>
          <w:b w:val="0"/>
          <w:i w:val="0"/>
        </w:rPr>
        <w:t xml:space="preserve"> </w:t>
      </w:r>
      <w:r>
        <w:rPr>
          <w:b w:val="0"/>
          <w:i w:val="0"/>
        </w:rPr>
        <w:t>help safeguard</w:t>
      </w:r>
      <w:r w:rsidRPr="004660F3">
        <w:rPr>
          <w:b w:val="0"/>
          <w:i w:val="0"/>
        </w:rPr>
        <w:t xml:space="preserve"> public health and safety:</w:t>
      </w:r>
    </w:p>
    <w:p w14:paraId="7C89DD1D" w14:textId="77777777" w:rsidR="00510A46" w:rsidRPr="004660F3" w:rsidRDefault="00510A46" w:rsidP="002537E1">
      <w:pPr>
        <w:pStyle w:val="CommentText"/>
        <w:numPr>
          <w:ilvl w:val="0"/>
          <w:numId w:val="8"/>
        </w:numPr>
        <w:spacing w:before="120" w:after="120"/>
        <w:ind w:left="357" w:hanging="357"/>
        <w:rPr>
          <w:sz w:val="22"/>
          <w:szCs w:val="22"/>
          <w:lang w:eastAsia="en-AU"/>
        </w:rPr>
      </w:pPr>
      <w:r w:rsidRPr="004660F3">
        <w:rPr>
          <w:sz w:val="22"/>
          <w:szCs w:val="22"/>
          <w:lang w:eastAsia="en-AU"/>
        </w:rPr>
        <w:t xml:space="preserve">reduction in minimum carbohydrate </w:t>
      </w:r>
      <w:r>
        <w:rPr>
          <w:sz w:val="22"/>
          <w:szCs w:val="22"/>
          <w:lang w:eastAsia="en-AU"/>
        </w:rPr>
        <w:t xml:space="preserve">(sugars) from 5% to 2% </w:t>
      </w:r>
    </w:p>
    <w:p w14:paraId="4FF49EF8" w14:textId="77777777" w:rsidR="00510A46" w:rsidRPr="004660F3" w:rsidRDefault="00510A46" w:rsidP="002537E1">
      <w:pPr>
        <w:pStyle w:val="CommentText"/>
        <w:numPr>
          <w:ilvl w:val="0"/>
          <w:numId w:val="8"/>
        </w:numPr>
        <w:spacing w:before="120" w:after="120"/>
        <w:ind w:left="357" w:hanging="357"/>
        <w:rPr>
          <w:sz w:val="22"/>
          <w:szCs w:val="22"/>
          <w:lang w:eastAsia="en-AU"/>
        </w:rPr>
      </w:pPr>
      <w:r w:rsidRPr="004660F3">
        <w:rPr>
          <w:sz w:val="22"/>
          <w:szCs w:val="22"/>
          <w:lang w:eastAsia="en-AU"/>
        </w:rPr>
        <w:t>restrictions on nutrition content claims</w:t>
      </w:r>
    </w:p>
    <w:p w14:paraId="76835D31" w14:textId="50A776A8" w:rsidR="00510A46" w:rsidRDefault="00510A46" w:rsidP="002537E1">
      <w:pPr>
        <w:pStyle w:val="CommentText"/>
        <w:numPr>
          <w:ilvl w:val="0"/>
          <w:numId w:val="8"/>
        </w:numPr>
        <w:spacing w:before="120" w:after="120"/>
        <w:ind w:left="357" w:hanging="357"/>
        <w:rPr>
          <w:sz w:val="22"/>
          <w:szCs w:val="22"/>
          <w:lang w:eastAsia="en-AU"/>
        </w:rPr>
      </w:pPr>
      <w:r w:rsidRPr="004660F3">
        <w:rPr>
          <w:sz w:val="22"/>
          <w:szCs w:val="22"/>
          <w:lang w:eastAsia="en-AU"/>
        </w:rPr>
        <w:t xml:space="preserve">prohibition on health claims, other than three specific claims which must include a reference to 60 minutes or more of strenuous physical activity (which </w:t>
      </w:r>
      <w:r w:rsidRPr="004660F3">
        <w:rPr>
          <w:sz w:val="22"/>
          <w:szCs w:val="22"/>
        </w:rPr>
        <w:t>w</w:t>
      </w:r>
      <w:r>
        <w:rPr>
          <w:sz w:val="22"/>
          <w:szCs w:val="22"/>
        </w:rPr>
        <w:t>ill</w:t>
      </w:r>
      <w:r w:rsidRPr="004660F3">
        <w:rPr>
          <w:sz w:val="22"/>
          <w:szCs w:val="22"/>
        </w:rPr>
        <w:t xml:space="preserve"> aid to identify the target/non-target group)</w:t>
      </w:r>
      <w:r>
        <w:rPr>
          <w:sz w:val="22"/>
          <w:szCs w:val="22"/>
          <w:lang w:eastAsia="en-AU"/>
        </w:rPr>
        <w:t>.</w:t>
      </w:r>
    </w:p>
    <w:p w14:paraId="65DA45C5" w14:textId="5F2DB2B2" w:rsidR="002C1A3B" w:rsidRPr="002C1A3B" w:rsidRDefault="00510A46" w:rsidP="00510A46">
      <w:pPr>
        <w:rPr>
          <w:color w:val="00B050"/>
        </w:rPr>
      </w:pPr>
      <w:r>
        <w:rPr>
          <w:szCs w:val="22"/>
          <w:lang w:eastAsia="en-AU"/>
        </w:rPr>
        <w:t xml:space="preserve">These amendments will permit manufacturers to provide consumers with healthier </w:t>
      </w:r>
      <w:r w:rsidR="00A4171C">
        <w:rPr>
          <w:szCs w:val="22"/>
          <w:lang w:eastAsia="en-AU"/>
        </w:rPr>
        <w:t>electrolyte drink</w:t>
      </w:r>
      <w:r>
        <w:rPr>
          <w:szCs w:val="22"/>
          <w:lang w:eastAsia="en-AU"/>
        </w:rPr>
        <w:t xml:space="preserve"> options than currently available. The above regulatory measures also support </w:t>
      </w:r>
      <w:r w:rsidRPr="008B7133">
        <w:rPr>
          <w:szCs w:val="22"/>
          <w:lang w:eastAsia="en-AU"/>
        </w:rPr>
        <w:t>current public health policy</w:t>
      </w:r>
      <w:r>
        <w:rPr>
          <w:szCs w:val="22"/>
          <w:lang w:eastAsia="en-AU"/>
        </w:rPr>
        <w:t>.</w:t>
      </w:r>
    </w:p>
    <w:p w14:paraId="01B3767B" w14:textId="41E41003" w:rsidR="002C1A3B" w:rsidRPr="002C1A3B" w:rsidRDefault="002C1A3B" w:rsidP="00BE0316">
      <w:pPr>
        <w:pStyle w:val="Heading4"/>
        <w:spacing w:after="120"/>
        <w:rPr>
          <w:lang w:eastAsia="en-AU"/>
        </w:rPr>
      </w:pPr>
      <w:bookmarkStart w:id="177" w:name="_Toc300761899"/>
      <w:bookmarkStart w:id="178" w:name="_Toc300933442"/>
      <w:r w:rsidRPr="002C1A3B">
        <w:rPr>
          <w:lang w:eastAsia="en-AU"/>
        </w:rPr>
        <w:t>2.</w:t>
      </w:r>
      <w:r w:rsidR="00E65863">
        <w:rPr>
          <w:lang w:eastAsia="en-AU"/>
        </w:rPr>
        <w:t>6</w:t>
      </w:r>
      <w:r w:rsidRPr="002C1A3B">
        <w:rPr>
          <w:lang w:eastAsia="en-AU"/>
        </w:rPr>
        <w:t>.2.2</w:t>
      </w:r>
      <w:r w:rsidRPr="002C1A3B">
        <w:rPr>
          <w:lang w:eastAsia="en-AU"/>
        </w:rPr>
        <w:tab/>
        <w:t xml:space="preserve">The provision of adequate information relating to food to enable consumers to </w:t>
      </w:r>
      <w:r w:rsidRPr="002C1A3B">
        <w:rPr>
          <w:lang w:eastAsia="en-AU"/>
        </w:rPr>
        <w:lastRenderedPageBreak/>
        <w:t>make informed choices</w:t>
      </w:r>
      <w:bookmarkEnd w:id="177"/>
      <w:bookmarkEnd w:id="178"/>
    </w:p>
    <w:p w14:paraId="1A5D5D54" w14:textId="58A7FADA" w:rsidR="00510A46" w:rsidRDefault="00510A46" w:rsidP="00510A46">
      <w:pPr>
        <w:widowControl/>
        <w:spacing w:before="120" w:after="120"/>
      </w:pPr>
      <w:r>
        <w:t xml:space="preserve">Existing generic </w:t>
      </w:r>
      <w:r w:rsidRPr="00F0412D">
        <w:t xml:space="preserve">labelling requirements </w:t>
      </w:r>
      <w:r>
        <w:t xml:space="preserve">in the Code would continue to apply to electrolyte drinks in addition to the </w:t>
      </w:r>
      <w:r w:rsidR="00887D11">
        <w:t xml:space="preserve">changes </w:t>
      </w:r>
      <w:r>
        <w:t xml:space="preserve">as discussed above in Sections </w:t>
      </w:r>
      <w:r w:rsidR="00254971">
        <w:t>2.4</w:t>
      </w:r>
      <w:r w:rsidR="00212D23">
        <w:t>.5.1</w:t>
      </w:r>
      <w:r>
        <w:t xml:space="preserve"> (</w:t>
      </w:r>
      <w:r w:rsidR="00212D23">
        <w:t>prescribed name</w:t>
      </w:r>
      <w:r>
        <w:t xml:space="preserve">) and </w:t>
      </w:r>
      <w:r w:rsidR="00212D23">
        <w:t>2.</w:t>
      </w:r>
      <w:r w:rsidR="00254971">
        <w:t>4</w:t>
      </w:r>
      <w:r w:rsidR="00212D23">
        <w:t>.5.2</w:t>
      </w:r>
      <w:r>
        <w:t xml:space="preserve"> (nutrition information requirements). </w:t>
      </w:r>
    </w:p>
    <w:p w14:paraId="0D1C92CF" w14:textId="31F30461" w:rsidR="00887D11" w:rsidRPr="00510A46" w:rsidRDefault="00510A46" w:rsidP="00510A46">
      <w:pPr>
        <w:pStyle w:val="CommentText"/>
        <w:widowControl/>
        <w:spacing w:before="120" w:after="120"/>
        <w:rPr>
          <w:sz w:val="22"/>
          <w:szCs w:val="22"/>
        </w:rPr>
      </w:pPr>
      <w:r>
        <w:rPr>
          <w:sz w:val="22"/>
          <w:szCs w:val="22"/>
        </w:rPr>
        <w:t xml:space="preserve">These labelling requirements will clarify the intended </w:t>
      </w:r>
      <w:r w:rsidR="00887D11">
        <w:rPr>
          <w:sz w:val="22"/>
          <w:szCs w:val="22"/>
        </w:rPr>
        <w:t>purpose</w:t>
      </w:r>
      <w:r>
        <w:rPr>
          <w:sz w:val="22"/>
          <w:szCs w:val="22"/>
        </w:rPr>
        <w:t xml:space="preserve"> of electrolyte drinks to better assist consumers to make informed choices. These include requiring permitted health claims to refer to </w:t>
      </w:r>
      <w:r w:rsidRPr="00B95D66">
        <w:rPr>
          <w:i/>
          <w:sz w:val="22"/>
          <w:szCs w:val="22"/>
        </w:rPr>
        <w:t>strenuous physical activity</w:t>
      </w:r>
      <w:r>
        <w:rPr>
          <w:sz w:val="22"/>
          <w:szCs w:val="22"/>
        </w:rPr>
        <w:t xml:space="preserve"> and to a minimum time period of 60 minutes. </w:t>
      </w:r>
    </w:p>
    <w:p w14:paraId="6F9417AC" w14:textId="19F83AF8" w:rsidR="002C1A3B" w:rsidRPr="002C1A3B" w:rsidRDefault="002C1A3B" w:rsidP="00BE0316">
      <w:pPr>
        <w:pStyle w:val="Heading4"/>
        <w:spacing w:after="120"/>
        <w:rPr>
          <w:lang w:eastAsia="en-AU"/>
        </w:rPr>
      </w:pPr>
      <w:bookmarkStart w:id="179" w:name="_Toc300761900"/>
      <w:bookmarkStart w:id="180" w:name="_Toc300933443"/>
      <w:r w:rsidRPr="002C1A3B">
        <w:rPr>
          <w:lang w:eastAsia="en-AU"/>
        </w:rPr>
        <w:t>2.</w:t>
      </w:r>
      <w:r w:rsidR="00E65863">
        <w:rPr>
          <w:lang w:eastAsia="en-AU"/>
        </w:rPr>
        <w:t>6</w:t>
      </w:r>
      <w:r w:rsidRPr="002C1A3B">
        <w:rPr>
          <w:lang w:eastAsia="en-AU"/>
        </w:rPr>
        <w:t>.2.3</w:t>
      </w:r>
      <w:r w:rsidRPr="002C1A3B">
        <w:rPr>
          <w:lang w:eastAsia="en-AU"/>
        </w:rPr>
        <w:tab/>
        <w:t>The prevention of misleading or deceptive conduct</w:t>
      </w:r>
      <w:bookmarkEnd w:id="179"/>
      <w:bookmarkEnd w:id="180"/>
    </w:p>
    <w:p w14:paraId="1F5D2510" w14:textId="184B0ECB" w:rsidR="002C1A3B" w:rsidRPr="00510A46" w:rsidRDefault="00510A46" w:rsidP="00510A46">
      <w:pPr>
        <w:widowControl/>
        <w:spacing w:before="120" w:after="120"/>
      </w:pPr>
      <w:r>
        <w:t xml:space="preserve">FSANZ considers the </w:t>
      </w:r>
      <w:r w:rsidR="007D461E">
        <w:t>approved draft variation will</w:t>
      </w:r>
      <w:r>
        <w:t xml:space="preserve">, </w:t>
      </w:r>
      <w:r w:rsidR="007D461E">
        <w:t xml:space="preserve">for the reasons </w:t>
      </w:r>
      <w:r>
        <w:t xml:space="preserve">discussed above, assist in achieving this objective. In particular, </w:t>
      </w:r>
      <w:r>
        <w:rPr>
          <w:szCs w:val="22"/>
        </w:rPr>
        <w:t>the prohibition on making</w:t>
      </w:r>
      <w:r w:rsidR="00887D11">
        <w:rPr>
          <w:szCs w:val="22"/>
        </w:rPr>
        <w:t xml:space="preserve"> nutrition content and</w:t>
      </w:r>
      <w:r>
        <w:rPr>
          <w:szCs w:val="22"/>
        </w:rPr>
        <w:t xml:space="preserve"> health claims other than </w:t>
      </w:r>
      <w:r w:rsidR="00887D11">
        <w:rPr>
          <w:szCs w:val="22"/>
        </w:rPr>
        <w:t xml:space="preserve">the </w:t>
      </w:r>
      <w:r>
        <w:rPr>
          <w:szCs w:val="22"/>
        </w:rPr>
        <w:t>limited claims</w:t>
      </w:r>
      <w:r w:rsidR="00887D11">
        <w:rPr>
          <w:szCs w:val="22"/>
        </w:rPr>
        <w:t xml:space="preserve"> permitted relating to the intended purpose of </w:t>
      </w:r>
      <w:r w:rsidR="00841756">
        <w:rPr>
          <w:szCs w:val="22"/>
        </w:rPr>
        <w:t>electrolyte drinks</w:t>
      </w:r>
      <w:r>
        <w:rPr>
          <w:szCs w:val="22"/>
        </w:rPr>
        <w:t xml:space="preserve"> will help to prevent consumers from being misled about the </w:t>
      </w:r>
      <w:r w:rsidR="00A4171C">
        <w:rPr>
          <w:szCs w:val="22"/>
        </w:rPr>
        <w:t>nature and use of electrolyte drink</w:t>
      </w:r>
      <w:r>
        <w:rPr>
          <w:szCs w:val="22"/>
        </w:rPr>
        <w:t xml:space="preserve">s. </w:t>
      </w:r>
    </w:p>
    <w:p w14:paraId="536388CA" w14:textId="3E1AEDC6" w:rsidR="002C1A3B" w:rsidRPr="006339BD" w:rsidRDefault="002C1A3B" w:rsidP="006339BD">
      <w:pPr>
        <w:pStyle w:val="Heading3"/>
        <w:spacing w:before="120" w:after="120"/>
      </w:pPr>
      <w:bookmarkStart w:id="181" w:name="_Toc300761901"/>
      <w:bookmarkStart w:id="182" w:name="_Toc300933444"/>
      <w:bookmarkStart w:id="183" w:name="_Toc370223480"/>
      <w:bookmarkStart w:id="184" w:name="_Toc370225395"/>
      <w:bookmarkStart w:id="185" w:name="_Toc103197717"/>
      <w:r w:rsidRPr="006339BD">
        <w:t>2.</w:t>
      </w:r>
      <w:r w:rsidR="00E65863" w:rsidRPr="006339BD">
        <w:t>6</w:t>
      </w:r>
      <w:r w:rsidRPr="006339BD">
        <w:t>.3</w:t>
      </w:r>
      <w:r w:rsidRPr="006339BD">
        <w:tab/>
        <w:t xml:space="preserve">Subsection 18(2) </w:t>
      </w:r>
      <w:bookmarkEnd w:id="181"/>
      <w:bookmarkEnd w:id="182"/>
      <w:r w:rsidRPr="006339BD">
        <w:t>considerations</w:t>
      </w:r>
      <w:bookmarkEnd w:id="183"/>
      <w:bookmarkEnd w:id="184"/>
      <w:bookmarkEnd w:id="185"/>
    </w:p>
    <w:p w14:paraId="4DCA7D29" w14:textId="2FA26572" w:rsidR="002C1A3B" w:rsidRPr="002C1A3B" w:rsidRDefault="002C1A3B" w:rsidP="00BE0316">
      <w:pPr>
        <w:spacing w:after="120"/>
        <w:rPr>
          <w:rFonts w:cs="Arial"/>
        </w:rPr>
      </w:pPr>
      <w:r w:rsidRPr="002C1A3B">
        <w:rPr>
          <w:rFonts w:cs="Arial"/>
        </w:rPr>
        <w:t>FSANZ has also had regard to:</w:t>
      </w:r>
    </w:p>
    <w:p w14:paraId="6C307AFD"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63BD8640" w14:textId="1FE179EB" w:rsidR="002C1A3B" w:rsidRDefault="00510A46" w:rsidP="00BE0316">
      <w:pPr>
        <w:widowControl/>
        <w:spacing w:before="120"/>
      </w:pPr>
      <w:r w:rsidRPr="003365A4">
        <w:t xml:space="preserve">FSANZ considered the best available scientific evidence </w:t>
      </w:r>
      <w:r>
        <w:t>(see</w:t>
      </w:r>
      <w:r w:rsidDel="00EC11CC">
        <w:t xml:space="preserve"> </w:t>
      </w:r>
      <w:r>
        <w:t>Section 2.</w:t>
      </w:r>
      <w:r w:rsidR="00254971">
        <w:t>3</w:t>
      </w:r>
      <w:r>
        <w:t xml:space="preserve"> above and SD1) in relation to all measures proposed in the amended draft variation. These measures include </w:t>
      </w:r>
      <w:r w:rsidRPr="00A56338">
        <w:t>revising the composition and labelling requirements for electrolyte drinks</w:t>
      </w:r>
      <w:r>
        <w:t xml:space="preserve">; and revising the </w:t>
      </w:r>
      <w:r w:rsidRPr="00A56338">
        <w:t>requirements and limitations for nutrition content and health claims that may be made in relation to electrolyte drinks</w:t>
      </w:r>
      <w:r>
        <w:t>.</w:t>
      </w:r>
    </w:p>
    <w:p w14:paraId="4D198063" w14:textId="77777777" w:rsidR="00BE0316" w:rsidRPr="002C1A3B" w:rsidRDefault="00BE0316" w:rsidP="00BE0316">
      <w:pPr>
        <w:widowControl/>
      </w:pPr>
    </w:p>
    <w:p w14:paraId="78D442E7" w14:textId="77777777" w:rsidR="002C1A3B" w:rsidRPr="002C1A3B" w:rsidRDefault="002C1A3B" w:rsidP="002C1A3B">
      <w:pPr>
        <w:pStyle w:val="FSBullet1"/>
        <w:rPr>
          <w:b/>
        </w:rPr>
      </w:pPr>
      <w:r w:rsidRPr="002C1A3B">
        <w:rPr>
          <w:b/>
        </w:rPr>
        <w:t>the promotion of consistency between domestic and international food standards</w:t>
      </w:r>
    </w:p>
    <w:p w14:paraId="5C3D3F5B" w14:textId="3CF0F21C" w:rsidR="00510A46" w:rsidRPr="00235A63" w:rsidRDefault="00510A46" w:rsidP="00BE0316">
      <w:pPr>
        <w:widowControl/>
        <w:spacing w:before="120"/>
      </w:pPr>
      <w:r>
        <w:t xml:space="preserve">There are no Codex, EU or US commodity standards for the regulation of electrolyte drinks. </w:t>
      </w:r>
    </w:p>
    <w:p w14:paraId="470E8FF9" w14:textId="1D384A76" w:rsidR="002C1A3B" w:rsidRPr="002C1A3B" w:rsidRDefault="002C1A3B" w:rsidP="00BE0316">
      <w:pPr>
        <w:rPr>
          <w:lang w:bidi="ar-SA"/>
        </w:rPr>
      </w:pPr>
    </w:p>
    <w:p w14:paraId="2B9706E0" w14:textId="59AC6E38" w:rsidR="002C1A3B" w:rsidRPr="00FA67C3" w:rsidRDefault="002C1A3B" w:rsidP="00BE0316">
      <w:pPr>
        <w:pStyle w:val="FSBullet1"/>
        <w:ind w:left="357" w:hanging="357"/>
        <w:rPr>
          <w:b/>
        </w:rPr>
      </w:pPr>
      <w:r w:rsidRPr="002C1A3B">
        <w:rPr>
          <w:b/>
        </w:rPr>
        <w:t>the desirability of an efficient and internationally competitive food industry</w:t>
      </w:r>
    </w:p>
    <w:p w14:paraId="5BEF87C1" w14:textId="631FC3AF" w:rsidR="002C1A3B" w:rsidRPr="00FA67C3" w:rsidRDefault="00510A46" w:rsidP="0071436B">
      <w:pPr>
        <w:widowControl/>
        <w:spacing w:before="120"/>
      </w:pPr>
      <w:r w:rsidRPr="002A7881">
        <w:rPr>
          <w:rFonts w:cs="Arial"/>
          <w:lang w:bidi="ar-SA"/>
        </w:rPr>
        <w:t>The approved</w:t>
      </w:r>
      <w:r>
        <w:rPr>
          <w:rFonts w:cs="Arial"/>
          <w:lang w:bidi="ar-SA"/>
        </w:rPr>
        <w:t xml:space="preserve"> draft variation</w:t>
      </w:r>
      <w:r w:rsidRPr="002A7881">
        <w:rPr>
          <w:rFonts w:cs="Arial"/>
          <w:lang w:bidi="ar-SA"/>
        </w:rPr>
        <w:t xml:space="preserve"> would allow for a competitive food industry in relation to </w:t>
      </w:r>
      <w:r w:rsidR="00A4171C">
        <w:rPr>
          <w:rFonts w:cs="Arial"/>
          <w:lang w:bidi="ar-SA"/>
        </w:rPr>
        <w:t>electrolyte drinks</w:t>
      </w:r>
      <w:r>
        <w:rPr>
          <w:rFonts w:cs="Arial"/>
          <w:lang w:bidi="ar-SA"/>
        </w:rPr>
        <w:t>.</w:t>
      </w:r>
      <w:r w:rsidRPr="00235A63">
        <w:t xml:space="preserve"> </w:t>
      </w:r>
      <w:r>
        <w:t>Reducing the minimum carbohydrate compositional requirement and extending the permission for (amended) health claims to electrolyte drinks with the lower carbohydrate content and the inclusion of hypotonic electrolyte drinks, in addition to isotonic, will remove potential barriers to international</w:t>
      </w:r>
      <w:r w:rsidR="00FA67C3">
        <w:t xml:space="preserve">ly traded electrolyte drinks.  </w:t>
      </w:r>
    </w:p>
    <w:p w14:paraId="0F37E2CA" w14:textId="77777777" w:rsidR="002C1A3B" w:rsidRPr="002C1A3B" w:rsidRDefault="002C1A3B" w:rsidP="002C1A3B">
      <w:pPr>
        <w:rPr>
          <w:lang w:bidi="ar-SA"/>
        </w:rPr>
      </w:pPr>
    </w:p>
    <w:p w14:paraId="2D6E326E" w14:textId="4B9D017F" w:rsidR="002C1A3B" w:rsidRPr="00FA67C3" w:rsidRDefault="002C1A3B" w:rsidP="002C1A3B">
      <w:pPr>
        <w:pStyle w:val="FSBullet1"/>
        <w:rPr>
          <w:b/>
        </w:rPr>
      </w:pPr>
      <w:r w:rsidRPr="002C1A3B">
        <w:rPr>
          <w:b/>
        </w:rPr>
        <w:t>the promotion of fair trading in food</w:t>
      </w:r>
    </w:p>
    <w:p w14:paraId="779180B2" w14:textId="3F5C4E20" w:rsidR="002C1A3B" w:rsidRPr="00467A8F" w:rsidRDefault="00FA67C3" w:rsidP="0071436B">
      <w:pPr>
        <w:spacing w:before="120"/>
      </w:pPr>
      <w:r>
        <w:rPr>
          <w:szCs w:val="22"/>
        </w:rPr>
        <w:t>No</w:t>
      </w:r>
      <w:r w:rsidR="00510A46" w:rsidRPr="004C7ABF">
        <w:rPr>
          <w:szCs w:val="22"/>
        </w:rPr>
        <w:t xml:space="preserve"> </w:t>
      </w:r>
      <w:r w:rsidR="00510A46">
        <w:rPr>
          <w:szCs w:val="22"/>
        </w:rPr>
        <w:t xml:space="preserve">specific </w:t>
      </w:r>
      <w:r w:rsidR="00510A46" w:rsidRPr="004C7ABF">
        <w:rPr>
          <w:szCs w:val="22"/>
        </w:rPr>
        <w:t>i</w:t>
      </w:r>
      <w:r w:rsidR="00996520">
        <w:rPr>
          <w:szCs w:val="22"/>
        </w:rPr>
        <w:t>ssues were identified for this P</w:t>
      </w:r>
      <w:r w:rsidR="00510A46">
        <w:rPr>
          <w:szCs w:val="22"/>
        </w:rPr>
        <w:t>roposal</w:t>
      </w:r>
      <w:r w:rsidR="00510A46" w:rsidRPr="004C7ABF">
        <w:rPr>
          <w:szCs w:val="22"/>
        </w:rPr>
        <w:t xml:space="preserve"> relevant to this objective.</w:t>
      </w:r>
      <w:r w:rsidR="00510A46">
        <w:rPr>
          <w:szCs w:val="22"/>
        </w:rPr>
        <w:t xml:space="preserve"> </w:t>
      </w:r>
      <w:r w:rsidR="00510A46">
        <w:t>FSANZ considers that its requirement to permit electrolyte drinks to only carry specified claims consistent with their intended purpose, will support fair trading</w:t>
      </w:r>
      <w:r w:rsidR="009146EE" w:rsidRPr="00467A8F">
        <w:t>.</w:t>
      </w:r>
    </w:p>
    <w:p w14:paraId="24032B98" w14:textId="77777777" w:rsidR="002C1A3B" w:rsidRPr="002C1A3B" w:rsidRDefault="002C1A3B" w:rsidP="002C1A3B">
      <w:pPr>
        <w:rPr>
          <w:lang w:bidi="ar-SA"/>
        </w:rPr>
      </w:pPr>
    </w:p>
    <w:p w14:paraId="716D64C7" w14:textId="3783FFA5" w:rsidR="002C1A3B" w:rsidRPr="00FA67C3" w:rsidRDefault="002C1A3B" w:rsidP="002C1A3B">
      <w:pPr>
        <w:pStyle w:val="FSBullet1"/>
        <w:rPr>
          <w:b/>
        </w:rPr>
      </w:pPr>
      <w:r w:rsidRPr="002C1A3B">
        <w:rPr>
          <w:b/>
        </w:rPr>
        <w:t xml:space="preserve">any written policy guidelines formulated by the </w:t>
      </w:r>
      <w:r w:rsidR="00EA2226">
        <w:rPr>
          <w:b/>
        </w:rPr>
        <w:t>Forum on Food Regulation</w:t>
      </w:r>
    </w:p>
    <w:p w14:paraId="0F5A0AA3" w14:textId="6839D122" w:rsidR="00510A46" w:rsidRDefault="00510A46" w:rsidP="00510A46">
      <w:pPr>
        <w:widowControl/>
        <w:spacing w:before="120" w:after="120"/>
      </w:pPr>
      <w:r>
        <w:rPr>
          <w:lang w:val="en"/>
        </w:rPr>
        <w:t>The Ministerial policy guideline</w:t>
      </w:r>
      <w:r w:rsidRPr="00270138">
        <w:rPr>
          <w:lang w:val="en"/>
        </w:rPr>
        <w:t xml:space="preserve"> </w:t>
      </w:r>
      <w:r>
        <w:rPr>
          <w:lang w:val="en"/>
        </w:rPr>
        <w:t xml:space="preserve">on </w:t>
      </w:r>
      <w:r>
        <w:t>Nutrition, H</w:t>
      </w:r>
      <w:r w:rsidRPr="00A43FE2">
        <w:t xml:space="preserve">ealth and </w:t>
      </w:r>
      <w:r>
        <w:t>R</w:t>
      </w:r>
      <w:r w:rsidRPr="00A43FE2">
        <w:t xml:space="preserve">elated </w:t>
      </w:r>
      <w:r>
        <w:t>C</w:t>
      </w:r>
      <w:r w:rsidRPr="00A43FE2">
        <w:t>laim</w:t>
      </w:r>
      <w:r>
        <w:t>s</w:t>
      </w:r>
      <w:r w:rsidR="006802AE">
        <w:rPr>
          <w:rStyle w:val="FootnoteReference"/>
        </w:rPr>
        <w:footnoteReference w:id="12"/>
      </w:r>
      <w:r>
        <w:t xml:space="preserve"> is </w:t>
      </w:r>
      <w:r w:rsidRPr="00A43FE2">
        <w:t xml:space="preserve">relevant </w:t>
      </w:r>
      <w:r>
        <w:t>to</w:t>
      </w:r>
      <w:r w:rsidRPr="00A43FE2">
        <w:t xml:space="preserve"> this </w:t>
      </w:r>
      <w:r>
        <w:t xml:space="preserve">regulatory measure. </w:t>
      </w:r>
    </w:p>
    <w:p w14:paraId="536CA52B" w14:textId="54DAB152" w:rsidR="006257DB" w:rsidRPr="00926720" w:rsidRDefault="00510A46" w:rsidP="00510A46">
      <w:pPr>
        <w:widowControl/>
        <w:spacing w:before="120" w:after="120"/>
      </w:pPr>
      <w:r>
        <w:t xml:space="preserve">The new provisions </w:t>
      </w:r>
      <w:r w:rsidR="006257DB">
        <w:t>permit</w:t>
      </w:r>
      <w:r>
        <w:t xml:space="preserve"> certain nutrition content and health claims to be made about electrolyte drinks in accordance with specified conditions in Standards 2.6.2 and 1.2.7. The conditions in Standard 1.2.7 were developed under Proposal P293 with regard to that </w:t>
      </w:r>
      <w:r w:rsidRPr="00EC7F52">
        <w:t>Policy Guideline</w:t>
      </w:r>
      <w:r>
        <w:t xml:space="preserve">. FSANZ also had regard to this policy guideline when considering the specific </w:t>
      </w:r>
      <w:r>
        <w:lastRenderedPageBreak/>
        <w:t xml:space="preserve">conditions for nutrition content and health claims incorporated </w:t>
      </w:r>
      <w:r w:rsidR="00996520">
        <w:t>into Standard 2.6.2 under this P</w:t>
      </w:r>
      <w:r>
        <w:t>roposal.</w:t>
      </w:r>
    </w:p>
    <w:p w14:paraId="3EA39526" w14:textId="491E7BED" w:rsidR="00C92E07" w:rsidRPr="00FA67C3" w:rsidRDefault="002C1A3B" w:rsidP="00BE0316">
      <w:pPr>
        <w:pStyle w:val="Heading1"/>
        <w:spacing w:after="120"/>
      </w:pPr>
      <w:bookmarkStart w:id="186" w:name="_Toc100829782"/>
      <w:bookmarkStart w:id="187" w:name="_Toc103090824"/>
      <w:bookmarkStart w:id="188" w:name="_Toc103197718"/>
      <w:r w:rsidRPr="00FA67C3">
        <w:t>3</w:t>
      </w:r>
      <w:r w:rsidR="00453646" w:rsidRPr="00FA67C3">
        <w:tab/>
      </w:r>
      <w:r w:rsidR="00C92E07" w:rsidRPr="00FA67C3">
        <w:t xml:space="preserve">Transitional </w:t>
      </w:r>
      <w:r w:rsidR="000B427A" w:rsidRPr="00FA67C3">
        <w:t>a</w:t>
      </w:r>
      <w:r w:rsidR="00C92E07" w:rsidRPr="00FA67C3">
        <w:t>rrangements</w:t>
      </w:r>
      <w:bookmarkEnd w:id="158"/>
      <w:bookmarkEnd w:id="186"/>
      <w:bookmarkEnd w:id="187"/>
      <w:bookmarkEnd w:id="188"/>
    </w:p>
    <w:p w14:paraId="18287F47" w14:textId="63589009" w:rsidR="00510A46" w:rsidRDefault="00510A46" w:rsidP="008D1D0C">
      <w:pPr>
        <w:spacing w:before="120" w:after="120"/>
        <w:rPr>
          <w:lang w:eastAsia="en-AU"/>
        </w:rPr>
      </w:pPr>
      <w:bookmarkStart w:id="189" w:name="_Toc439671562"/>
      <w:r>
        <w:rPr>
          <w:lang w:eastAsia="en-AU"/>
        </w:rPr>
        <w:t>In the 2021 C</w:t>
      </w:r>
      <w:r w:rsidR="00BB7EB4">
        <w:rPr>
          <w:lang w:eastAsia="en-AU"/>
        </w:rPr>
        <w:t xml:space="preserve">onsultation </w:t>
      </w:r>
      <w:r>
        <w:rPr>
          <w:lang w:eastAsia="en-AU"/>
        </w:rPr>
        <w:t>P</w:t>
      </w:r>
      <w:r w:rsidR="00BB7EB4">
        <w:rPr>
          <w:lang w:eastAsia="en-AU"/>
        </w:rPr>
        <w:t>aper</w:t>
      </w:r>
      <w:r>
        <w:rPr>
          <w:lang w:eastAsia="en-AU"/>
        </w:rPr>
        <w:t>, FSANZ proposed a 12 month transition period commencing on the da</w:t>
      </w:r>
      <w:r w:rsidR="00A4171C">
        <w:rPr>
          <w:lang w:eastAsia="en-AU"/>
        </w:rPr>
        <w:t>te of gazettal would apply to electrolyte drink</w:t>
      </w:r>
      <w:r>
        <w:rPr>
          <w:lang w:eastAsia="en-AU"/>
        </w:rPr>
        <w:t xml:space="preserve">s, in keeping with the </w:t>
      </w:r>
      <w:r>
        <w:t>Code’s default standard transition arrangements provided by section 1.1.1—9 of the Code</w:t>
      </w:r>
      <w:r>
        <w:rPr>
          <w:lang w:eastAsia="en-AU"/>
        </w:rPr>
        <w:t xml:space="preserve">. </w:t>
      </w:r>
    </w:p>
    <w:p w14:paraId="071625BC" w14:textId="4A85803B" w:rsidR="00510A46" w:rsidRDefault="00510A46" w:rsidP="008D1D0C">
      <w:pPr>
        <w:spacing w:before="120" w:after="120"/>
      </w:pPr>
      <w:r>
        <w:rPr>
          <w:lang w:eastAsia="en-AU"/>
        </w:rPr>
        <w:t xml:space="preserve">FSANZ has since reconsidered this time period and is now proposing </w:t>
      </w:r>
      <w:r>
        <w:t xml:space="preserve">the approved draft variation will take effect on the date of gazettal, with a </w:t>
      </w:r>
      <w:r w:rsidR="003E51C9">
        <w:t xml:space="preserve">two </w:t>
      </w:r>
      <w:r>
        <w:t xml:space="preserve">year </w:t>
      </w:r>
      <w:r w:rsidR="002B1446">
        <w:t xml:space="preserve">(24 month) </w:t>
      </w:r>
      <w:r>
        <w:t>transition period.</w:t>
      </w:r>
    </w:p>
    <w:p w14:paraId="0F80E5B7" w14:textId="110E7025" w:rsidR="00510A46" w:rsidRDefault="00510A46" w:rsidP="008D1D0C">
      <w:pPr>
        <w:spacing w:before="120" w:after="120"/>
        <w:rPr>
          <w:lang w:eastAsia="en-AU"/>
        </w:rPr>
      </w:pPr>
      <w:r>
        <w:rPr>
          <w:lang w:eastAsia="en-AU"/>
        </w:rPr>
        <w:t xml:space="preserve">FSANZ considers a longer transition period is more appropriate given </w:t>
      </w:r>
      <w:r w:rsidR="00BA08CA">
        <w:rPr>
          <w:lang w:eastAsia="en-AU"/>
        </w:rPr>
        <w:t>required</w:t>
      </w:r>
      <w:r>
        <w:rPr>
          <w:lang w:eastAsia="en-AU"/>
        </w:rPr>
        <w:t xml:space="preserve"> labelling changes that will directly impact the </w:t>
      </w:r>
      <w:r w:rsidR="00A4171C">
        <w:rPr>
          <w:lang w:eastAsia="en-AU"/>
        </w:rPr>
        <w:t>electrolyte drinks</w:t>
      </w:r>
      <w:r>
        <w:rPr>
          <w:lang w:eastAsia="en-AU"/>
        </w:rPr>
        <w:t xml:space="preserve"> category and beverage manufacturers generally. This change is commensurate with the transition peri</w:t>
      </w:r>
      <w:r w:rsidR="00996520">
        <w:rPr>
          <w:lang w:eastAsia="en-AU"/>
        </w:rPr>
        <w:t xml:space="preserve">ods recently afforded to other </w:t>
      </w:r>
      <w:r w:rsidR="007632B3">
        <w:rPr>
          <w:lang w:eastAsia="en-AU"/>
        </w:rPr>
        <w:t>applications and p</w:t>
      </w:r>
      <w:r>
        <w:rPr>
          <w:lang w:eastAsia="en-AU"/>
        </w:rPr>
        <w:t>roposals requiring</w:t>
      </w:r>
      <w:r w:rsidR="007632B3">
        <w:rPr>
          <w:lang w:eastAsia="en-AU"/>
        </w:rPr>
        <w:t xml:space="preserve"> possible compositional and</w:t>
      </w:r>
      <w:r>
        <w:rPr>
          <w:lang w:eastAsia="en-AU"/>
        </w:rPr>
        <w:t xml:space="preserve"> label changes, and recognises both </w:t>
      </w:r>
      <w:r>
        <w:t xml:space="preserve">the </w:t>
      </w:r>
      <w:r w:rsidR="00A4171C">
        <w:t>relatively long shelf-life of electrolyte drink</w:t>
      </w:r>
      <w:r>
        <w:t xml:space="preserve">s and the myriad of challenges industry are experiencing as a result of Covid-19. </w:t>
      </w:r>
    </w:p>
    <w:p w14:paraId="249DA3BB" w14:textId="2338C1A3" w:rsidR="0012388D" w:rsidRPr="00FA67C3" w:rsidRDefault="00510A46" w:rsidP="008D1D0C">
      <w:pPr>
        <w:spacing w:before="120" w:after="120"/>
      </w:pPr>
      <w:r>
        <w:t xml:space="preserve">During the </w:t>
      </w:r>
      <w:r w:rsidR="006929F6">
        <w:t>transition period</w:t>
      </w:r>
      <w:r>
        <w:t xml:space="preserve">, an </w:t>
      </w:r>
      <w:r w:rsidR="00A4171C">
        <w:t>electrolyte drink</w:t>
      </w:r>
      <w:r>
        <w:t xml:space="preserve"> can comply with either the Code </w:t>
      </w:r>
      <w:r w:rsidR="003E51C9">
        <w:t xml:space="preserve">as in force as if the variation had not taken effect, or with the Code as amended by the variation. </w:t>
      </w:r>
      <w:r>
        <w:t>Aft</w:t>
      </w:r>
      <w:r w:rsidR="00A4171C">
        <w:t>er the</w:t>
      </w:r>
      <w:r w:rsidR="003E51C9">
        <w:t xml:space="preserve"> two year</w:t>
      </w:r>
      <w:r w:rsidR="00A4171C">
        <w:t xml:space="preserve"> transition period, all electrolyte drink</w:t>
      </w:r>
      <w:r>
        <w:t>s in the A</w:t>
      </w:r>
      <w:r w:rsidR="006929F6">
        <w:t xml:space="preserve">ustralian and </w:t>
      </w:r>
      <w:r>
        <w:t>N</w:t>
      </w:r>
      <w:r w:rsidR="006929F6">
        <w:t xml:space="preserve">ew </w:t>
      </w:r>
      <w:r>
        <w:t>Z</w:t>
      </w:r>
      <w:r w:rsidR="006929F6">
        <w:t>ealand</w:t>
      </w:r>
      <w:r>
        <w:t xml:space="preserve"> market </w:t>
      </w:r>
      <w:r w:rsidRPr="00FA67C3">
        <w:t>would have to comply with the approved draft variation.</w:t>
      </w:r>
      <w:bookmarkEnd w:id="189"/>
    </w:p>
    <w:p w14:paraId="4E9EF701" w14:textId="77777777" w:rsidR="0012388D" w:rsidRPr="00FA67C3" w:rsidRDefault="002C1A3B" w:rsidP="003B406B">
      <w:pPr>
        <w:pStyle w:val="Heading1"/>
        <w:spacing w:after="120"/>
      </w:pPr>
      <w:bookmarkStart w:id="190" w:name="_Toc11735642"/>
      <w:bookmarkStart w:id="191" w:name="_Toc29883129"/>
      <w:bookmarkStart w:id="192" w:name="_Toc41906816"/>
      <w:bookmarkStart w:id="193" w:name="_Toc41907563"/>
      <w:bookmarkStart w:id="194" w:name="_Toc120358595"/>
      <w:bookmarkStart w:id="195" w:name="_Toc175381457"/>
      <w:bookmarkStart w:id="196" w:name="_Toc100829783"/>
      <w:bookmarkStart w:id="197" w:name="_Toc103090825"/>
      <w:bookmarkStart w:id="198" w:name="_Toc103197719"/>
      <w:r w:rsidRPr="00FA67C3">
        <w:t>4</w:t>
      </w:r>
      <w:r w:rsidR="00453646" w:rsidRPr="00FA67C3">
        <w:tab/>
      </w:r>
      <w:r w:rsidR="003C4969" w:rsidRPr="00FA67C3">
        <w:t xml:space="preserve">Implementation and </w:t>
      </w:r>
      <w:r w:rsidR="000B427A" w:rsidRPr="00FA67C3">
        <w:t>r</w:t>
      </w:r>
      <w:r w:rsidR="003C4969" w:rsidRPr="00FA67C3">
        <w:t>eview</w:t>
      </w:r>
      <w:bookmarkEnd w:id="190"/>
      <w:bookmarkEnd w:id="191"/>
      <w:bookmarkEnd w:id="192"/>
      <w:bookmarkEnd w:id="193"/>
      <w:bookmarkEnd w:id="194"/>
      <w:bookmarkEnd w:id="195"/>
      <w:bookmarkEnd w:id="196"/>
      <w:bookmarkEnd w:id="197"/>
      <w:bookmarkEnd w:id="198"/>
    </w:p>
    <w:p w14:paraId="46602BEC" w14:textId="58FB65B2" w:rsidR="00510A46" w:rsidRPr="003857CC" w:rsidRDefault="009073B7" w:rsidP="00510A46">
      <w:pPr>
        <w:rPr>
          <w:lang w:bidi="ar-SA"/>
        </w:rPr>
      </w:pPr>
      <w:r>
        <w:rPr>
          <w:lang w:bidi="ar-SA"/>
        </w:rPr>
        <w:t>As mentioned above, the review of Standard 2.9.4 (Proposal P1010) provide</w:t>
      </w:r>
      <w:r w:rsidR="002B1446">
        <w:rPr>
          <w:lang w:bidi="ar-SA"/>
        </w:rPr>
        <w:t>s</w:t>
      </w:r>
      <w:r>
        <w:rPr>
          <w:lang w:bidi="ar-SA"/>
        </w:rPr>
        <w:t xml:space="preserve"> an opportunity, if required, to review and further consider the </w:t>
      </w:r>
      <w:r w:rsidR="00510A46">
        <w:rPr>
          <w:lang w:bidi="ar-SA"/>
        </w:rPr>
        <w:t xml:space="preserve">amendments </w:t>
      </w:r>
      <w:r>
        <w:rPr>
          <w:lang w:bidi="ar-SA"/>
        </w:rPr>
        <w:t>made by the approved draft variation.</w:t>
      </w:r>
      <w:r w:rsidR="00510A46">
        <w:rPr>
          <w:lang w:bidi="ar-SA"/>
        </w:rPr>
        <w:t xml:space="preserve"> </w:t>
      </w:r>
    </w:p>
    <w:p w14:paraId="0D9A347D" w14:textId="77777777" w:rsidR="00513F04" w:rsidRDefault="00513F04" w:rsidP="003B406B">
      <w:pPr>
        <w:spacing w:before="120" w:after="120"/>
        <w:rPr>
          <w:b/>
          <w:sz w:val="28"/>
          <w:szCs w:val="28"/>
        </w:rPr>
      </w:pPr>
      <w:bookmarkStart w:id="199" w:name="_Toc11735643"/>
      <w:bookmarkStart w:id="200" w:name="_Toc29883130"/>
      <w:bookmarkStart w:id="201" w:name="_Toc41906817"/>
      <w:bookmarkStart w:id="202" w:name="_Toc41907564"/>
      <w:bookmarkStart w:id="203" w:name="_Toc43112360"/>
    </w:p>
    <w:p w14:paraId="374D0CD0" w14:textId="57E1D44B" w:rsidR="00DC7691" w:rsidRDefault="00352045" w:rsidP="003B406B">
      <w:pPr>
        <w:spacing w:before="120" w:after="120"/>
      </w:pPr>
      <w:r w:rsidRPr="004541F0">
        <w:rPr>
          <w:b/>
          <w:sz w:val="28"/>
          <w:szCs w:val="28"/>
        </w:rPr>
        <w:t>Appendi</w:t>
      </w:r>
      <w:r>
        <w:rPr>
          <w:b/>
          <w:sz w:val="28"/>
          <w:szCs w:val="28"/>
        </w:rPr>
        <w:t>ces</w:t>
      </w:r>
    </w:p>
    <w:p w14:paraId="21F14DEC" w14:textId="070EF0BD" w:rsidR="00DC7691" w:rsidRDefault="00DC7691" w:rsidP="003B406B">
      <w:r>
        <w:t>1</w:t>
      </w:r>
      <w:r>
        <w:tab/>
      </w:r>
      <w:r w:rsidRPr="0056363A">
        <w:t>EU Health Claims</w:t>
      </w:r>
      <w:r>
        <w:t xml:space="preserve"> for </w:t>
      </w:r>
      <w:r w:rsidRPr="00CC6AB0">
        <w:t>E</w:t>
      </w:r>
      <w:r>
        <w:t xml:space="preserve">lectrolyte </w:t>
      </w:r>
      <w:r w:rsidRPr="00CC6AB0">
        <w:t>D</w:t>
      </w:r>
      <w:r>
        <w:t>rink</w:t>
      </w:r>
      <w:r w:rsidRPr="00CC6AB0">
        <w:t>s</w:t>
      </w:r>
    </w:p>
    <w:p w14:paraId="274A8AD7" w14:textId="77777777" w:rsidR="00ED0411" w:rsidRDefault="00ED0411" w:rsidP="00ED0411">
      <w:r>
        <w:t>2</w:t>
      </w:r>
      <w:r>
        <w:tab/>
        <w:t xml:space="preserve">Electrolyte drink market, consumption and consumer research </w:t>
      </w:r>
    </w:p>
    <w:p w14:paraId="1E4AC661" w14:textId="48EAE01D" w:rsidR="00DC7691" w:rsidRPr="002C1A3B" w:rsidRDefault="00DC7691" w:rsidP="001122EC">
      <w:pPr>
        <w:rPr>
          <w:color w:val="00B050"/>
          <w:sz w:val="20"/>
          <w:szCs w:val="20"/>
        </w:rPr>
      </w:pPr>
    </w:p>
    <w:p w14:paraId="2C0DBE41" w14:textId="433D279D" w:rsidR="006C22A7" w:rsidRDefault="00D15A08" w:rsidP="003B406B">
      <w:pPr>
        <w:spacing w:before="120" w:after="120"/>
      </w:pPr>
      <w:r w:rsidRPr="006C22A7">
        <w:rPr>
          <w:b/>
          <w:sz w:val="28"/>
          <w:szCs w:val="28"/>
        </w:rPr>
        <w:t>A</w:t>
      </w:r>
      <w:bookmarkEnd w:id="199"/>
      <w:bookmarkEnd w:id="200"/>
      <w:bookmarkEnd w:id="201"/>
      <w:bookmarkEnd w:id="202"/>
      <w:bookmarkEnd w:id="203"/>
      <w:r w:rsidR="00B21055">
        <w:rPr>
          <w:b/>
          <w:sz w:val="28"/>
          <w:szCs w:val="28"/>
        </w:rPr>
        <w:t>ttachments</w:t>
      </w:r>
    </w:p>
    <w:p w14:paraId="26488CAC" w14:textId="1BD866B4"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484959C8"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41062972" w14:textId="0AAAB691" w:rsidR="006C22A7" w:rsidRDefault="00456BD5" w:rsidP="00E47D3B">
      <w:pPr>
        <w:ind w:left="567" w:hanging="567"/>
      </w:pPr>
      <w:r w:rsidRPr="006C4DF0">
        <w:t>C.</w:t>
      </w:r>
      <w:r w:rsidRPr="006C4DF0">
        <w:tab/>
      </w:r>
      <w:r w:rsidR="00E47D3B" w:rsidRPr="006C4DF0">
        <w:t>D</w:t>
      </w:r>
      <w:r w:rsidR="006C4DF0" w:rsidRPr="006C4DF0">
        <w:t>raft variation</w:t>
      </w:r>
      <w:r w:rsidR="00E47D3B" w:rsidRPr="006C4DF0">
        <w:t xml:space="preserve"> to the </w:t>
      </w:r>
      <w:r w:rsidR="00E47D3B" w:rsidRPr="006C4DF0">
        <w:rPr>
          <w:i/>
        </w:rPr>
        <w:t xml:space="preserve">Australia New Zealand Food Standards Code </w:t>
      </w:r>
      <w:r w:rsidR="00E47D3B" w:rsidRPr="006C4DF0">
        <w:t>(</w:t>
      </w:r>
      <w:r w:rsidR="001C6492">
        <w:t>consultation paper</w:t>
      </w:r>
      <w:r w:rsidR="00E47D3B" w:rsidRPr="006C4DF0">
        <w:t>)</w:t>
      </w:r>
    </w:p>
    <w:p w14:paraId="4E03CC40" w14:textId="7E09690C" w:rsidR="001C6492" w:rsidRDefault="001C6492" w:rsidP="001C6492">
      <w:pPr>
        <w:ind w:left="567" w:hanging="567"/>
      </w:pPr>
      <w:r>
        <w:t>D.</w:t>
      </w:r>
      <w:r>
        <w:tab/>
      </w:r>
      <w:r w:rsidRPr="006C4DF0">
        <w:t xml:space="preserve">Draft variation to the </w:t>
      </w:r>
      <w:r w:rsidRPr="006C4DF0">
        <w:rPr>
          <w:i/>
        </w:rPr>
        <w:t xml:space="preserve">Australia New Zealand Food Standards Code </w:t>
      </w:r>
      <w:r w:rsidR="0002640D">
        <w:t xml:space="preserve">(call for </w:t>
      </w:r>
      <w:r w:rsidRPr="006C4DF0">
        <w:t>submissions)</w:t>
      </w:r>
    </w:p>
    <w:p w14:paraId="0F30B5F8" w14:textId="12ED4203" w:rsidR="001C6492" w:rsidRDefault="001C6492" w:rsidP="00E47D3B">
      <w:pPr>
        <w:ind w:left="567" w:hanging="567"/>
      </w:pPr>
    </w:p>
    <w:p w14:paraId="6D3CD0EF" w14:textId="76C85BA1" w:rsidR="000A5427" w:rsidRDefault="000A5427" w:rsidP="00E47D3B">
      <w:pPr>
        <w:ind w:left="567" w:hanging="567"/>
      </w:pPr>
    </w:p>
    <w:p w14:paraId="7F70141D" w14:textId="55736EC5" w:rsidR="000A5427" w:rsidRDefault="000A5427" w:rsidP="00E47D3B">
      <w:pPr>
        <w:ind w:left="567" w:hanging="567"/>
      </w:pPr>
    </w:p>
    <w:p w14:paraId="41BB9186" w14:textId="77777777" w:rsidR="000A5427" w:rsidRDefault="000A5427">
      <w:pPr>
        <w:widowControl/>
      </w:pPr>
      <w:r>
        <w:br w:type="page"/>
      </w:r>
    </w:p>
    <w:p w14:paraId="6CE33097" w14:textId="77777777" w:rsidR="000A5427" w:rsidRPr="00C129FC" w:rsidRDefault="000A5427" w:rsidP="000A5427">
      <w:pPr>
        <w:pStyle w:val="Heading2"/>
        <w:ind w:left="0" w:firstLine="0"/>
      </w:pPr>
      <w:bookmarkStart w:id="204" w:name="_Toc60825028"/>
      <w:bookmarkStart w:id="205" w:name="_Toc61442331"/>
      <w:bookmarkStart w:id="206" w:name="_Toc61449875"/>
      <w:bookmarkStart w:id="207" w:name="_Toc63342519"/>
      <w:bookmarkStart w:id="208" w:name="_Toc71711656"/>
      <w:bookmarkStart w:id="209" w:name="_Toc72673590"/>
      <w:bookmarkStart w:id="210" w:name="_Toc100829785"/>
      <w:bookmarkStart w:id="211" w:name="_Toc103090827"/>
      <w:bookmarkStart w:id="212" w:name="_Toc103197720"/>
      <w:r>
        <w:lastRenderedPageBreak/>
        <w:t xml:space="preserve">Appendix </w:t>
      </w:r>
      <w:bookmarkStart w:id="213" w:name="_Toc60825029"/>
      <w:bookmarkEnd w:id="204"/>
      <w:r>
        <w:t>1</w:t>
      </w:r>
      <w:r w:rsidRPr="002017B8">
        <w:t xml:space="preserve"> </w:t>
      </w:r>
      <w:r>
        <w:t xml:space="preserve">– </w:t>
      </w:r>
      <w:r w:rsidRPr="00C129FC">
        <w:t>EU Health Claims for E</w:t>
      </w:r>
      <w:r>
        <w:t>lectrolyte Drinks</w:t>
      </w:r>
      <w:bookmarkEnd w:id="205"/>
      <w:bookmarkEnd w:id="206"/>
      <w:bookmarkEnd w:id="207"/>
      <w:bookmarkEnd w:id="208"/>
      <w:bookmarkEnd w:id="209"/>
      <w:bookmarkEnd w:id="210"/>
      <w:bookmarkEnd w:id="211"/>
      <w:bookmarkEnd w:id="212"/>
      <w:bookmarkEnd w:id="213"/>
    </w:p>
    <w:p w14:paraId="62CBF81B" w14:textId="77777777" w:rsidR="000A5427" w:rsidRPr="0029537F" w:rsidRDefault="000A5427" w:rsidP="000A5427">
      <w:pPr>
        <w:pStyle w:val="Default"/>
        <w:spacing w:before="120" w:after="120"/>
        <w:rPr>
          <w:rFonts w:ascii="Arial" w:hAnsi="Arial" w:cs="Arial"/>
          <w:b/>
          <w:color w:val="auto"/>
          <w:sz w:val="22"/>
          <w:szCs w:val="20"/>
          <w:lang w:eastAsia="en-US" w:bidi="en-US"/>
        </w:rPr>
      </w:pPr>
      <w:r w:rsidRPr="0029537F">
        <w:rPr>
          <w:rFonts w:ascii="Arial" w:hAnsi="Arial" w:cs="Arial"/>
          <w:b/>
          <w:color w:val="auto"/>
          <w:sz w:val="22"/>
          <w:szCs w:val="20"/>
          <w:lang w:eastAsia="en-US" w:bidi="en-US"/>
        </w:rPr>
        <w:t xml:space="preserve">History </w:t>
      </w:r>
      <w:r>
        <w:rPr>
          <w:rFonts w:ascii="Arial" w:hAnsi="Arial" w:cs="Arial"/>
          <w:b/>
          <w:color w:val="auto"/>
          <w:sz w:val="22"/>
          <w:szCs w:val="20"/>
          <w:lang w:eastAsia="en-US" w:bidi="en-US"/>
        </w:rPr>
        <w:t>of incorporation of EU-authorised health claims into the Code</w:t>
      </w:r>
    </w:p>
    <w:p w14:paraId="45FA0956" w14:textId="77777777" w:rsidR="000A5427" w:rsidRDefault="000A5427" w:rsidP="000A5427">
      <w:pPr>
        <w:pStyle w:val="Default"/>
        <w:spacing w:before="120" w:after="120"/>
        <w:rPr>
          <w:rFonts w:ascii="Arial" w:hAnsi="Arial" w:cs="Arial"/>
          <w:color w:val="auto"/>
          <w:sz w:val="22"/>
          <w:szCs w:val="20"/>
          <w:lang w:eastAsia="en-US" w:bidi="en-US"/>
        </w:rPr>
      </w:pPr>
      <w:r w:rsidRPr="0029537F">
        <w:rPr>
          <w:rFonts w:ascii="Arial" w:hAnsi="Arial" w:cs="Arial"/>
          <w:color w:val="auto"/>
          <w:sz w:val="22"/>
          <w:szCs w:val="20"/>
          <w:lang w:eastAsia="en-US" w:bidi="en-US"/>
        </w:rPr>
        <w:t>As part of P293</w:t>
      </w:r>
      <w:r>
        <w:rPr>
          <w:rFonts w:ascii="Arial" w:hAnsi="Arial" w:cs="Arial"/>
          <w:color w:val="auto"/>
          <w:sz w:val="22"/>
          <w:szCs w:val="20"/>
          <w:lang w:eastAsia="en-US" w:bidi="en-US"/>
        </w:rPr>
        <w:t xml:space="preserve"> – Nutrition, health and related claims</w:t>
      </w:r>
      <w:r w:rsidRPr="0029537F">
        <w:rPr>
          <w:rFonts w:ascii="Arial" w:hAnsi="Arial" w:cs="Arial"/>
          <w:color w:val="auto"/>
          <w:sz w:val="22"/>
          <w:szCs w:val="20"/>
          <w:lang w:eastAsia="en-US" w:bidi="en-US"/>
        </w:rPr>
        <w:t xml:space="preserve">, </w:t>
      </w:r>
      <w:r>
        <w:rPr>
          <w:rFonts w:ascii="Arial" w:hAnsi="Arial" w:cs="Arial"/>
          <w:color w:val="auto"/>
          <w:sz w:val="22"/>
          <w:szCs w:val="20"/>
          <w:lang w:eastAsia="en-US" w:bidi="en-US"/>
        </w:rPr>
        <w:t>food health relationships based on</w:t>
      </w:r>
      <w:r w:rsidRPr="0029537F">
        <w:rPr>
          <w:rFonts w:ascii="Arial" w:hAnsi="Arial" w:cs="Arial"/>
          <w:color w:val="auto"/>
          <w:sz w:val="22"/>
          <w:szCs w:val="20"/>
          <w:lang w:eastAsia="en-US" w:bidi="en-US"/>
        </w:rPr>
        <w:t xml:space="preserve"> EU-approved health claims were incorporated into the new Standard 1.2.7, but </w:t>
      </w:r>
      <w:r>
        <w:rPr>
          <w:rFonts w:ascii="Arial" w:hAnsi="Arial" w:cs="Arial"/>
          <w:color w:val="auto"/>
          <w:sz w:val="22"/>
          <w:szCs w:val="20"/>
          <w:lang w:eastAsia="en-US" w:bidi="en-US"/>
        </w:rPr>
        <w:t xml:space="preserve">the following two relating to </w:t>
      </w:r>
      <w:r w:rsidRPr="0029537F">
        <w:rPr>
          <w:rFonts w:ascii="Arial" w:hAnsi="Arial" w:cs="Arial"/>
          <w:color w:val="auto"/>
          <w:sz w:val="22"/>
          <w:szCs w:val="20"/>
          <w:lang w:eastAsia="en-US" w:bidi="en-US"/>
        </w:rPr>
        <w:t xml:space="preserve">carbohydrate electrolyte </w:t>
      </w:r>
      <w:r>
        <w:rPr>
          <w:rFonts w:ascii="Arial" w:hAnsi="Arial" w:cs="Arial"/>
          <w:color w:val="auto"/>
          <w:sz w:val="22"/>
          <w:szCs w:val="20"/>
          <w:lang w:eastAsia="en-US" w:bidi="en-US"/>
        </w:rPr>
        <w:t>solutions were not at that time:</w:t>
      </w:r>
    </w:p>
    <w:p w14:paraId="244506CE" w14:textId="77777777" w:rsidR="000A5427" w:rsidRPr="0029537F" w:rsidRDefault="000A5427" w:rsidP="000A5427">
      <w:pPr>
        <w:pStyle w:val="FSBullet1"/>
        <w:numPr>
          <w:ilvl w:val="0"/>
          <w:numId w:val="5"/>
        </w:numPr>
        <w:ind w:left="567" w:hanging="567"/>
        <w:rPr>
          <w:szCs w:val="20"/>
          <w:lang w:bidi="en-US"/>
        </w:rPr>
      </w:pPr>
      <w:r w:rsidRPr="0029537F">
        <w:t xml:space="preserve">carbohydrate electrolyte solutions contribute to the maintenance of endurance performance during prolonged endurance exercise </w:t>
      </w:r>
    </w:p>
    <w:p w14:paraId="0722C928" w14:textId="77777777" w:rsidR="000A5427" w:rsidRPr="0029537F" w:rsidRDefault="000A5427" w:rsidP="000A5427">
      <w:pPr>
        <w:pStyle w:val="FSBullet1"/>
        <w:numPr>
          <w:ilvl w:val="0"/>
          <w:numId w:val="5"/>
        </w:numPr>
        <w:ind w:left="567" w:hanging="567"/>
        <w:rPr>
          <w:szCs w:val="20"/>
          <w:lang w:bidi="en-US"/>
        </w:rPr>
      </w:pPr>
      <w:r w:rsidRPr="0029537F">
        <w:t>carbohydrate electrolyte solutions enhance the absorption of water during physical exercise</w:t>
      </w:r>
      <w:r>
        <w:rPr>
          <w:szCs w:val="20"/>
          <w:lang w:bidi="en-US"/>
        </w:rPr>
        <w:t>.</w:t>
      </w:r>
    </w:p>
    <w:p w14:paraId="5C8BBF79" w14:textId="77777777" w:rsidR="000A5427" w:rsidRPr="0029537F" w:rsidRDefault="000A5427" w:rsidP="000A5427">
      <w:pPr>
        <w:pStyle w:val="Default"/>
        <w:spacing w:before="120" w:after="120"/>
        <w:rPr>
          <w:rFonts w:ascii="Arial" w:hAnsi="Arial" w:cs="Arial"/>
          <w:color w:val="auto"/>
          <w:sz w:val="22"/>
          <w:szCs w:val="20"/>
          <w:lang w:eastAsia="en-US" w:bidi="en-US"/>
        </w:rPr>
      </w:pPr>
      <w:r w:rsidRPr="0029537F">
        <w:rPr>
          <w:rFonts w:ascii="Arial" w:hAnsi="Arial" w:cs="Arial"/>
          <w:color w:val="auto"/>
          <w:sz w:val="22"/>
          <w:szCs w:val="20"/>
          <w:lang w:eastAsia="en-US" w:bidi="en-US"/>
        </w:rPr>
        <w:t xml:space="preserve">These </w:t>
      </w:r>
      <w:r>
        <w:rPr>
          <w:rFonts w:ascii="Arial" w:hAnsi="Arial" w:cs="Arial"/>
          <w:color w:val="auto"/>
          <w:sz w:val="22"/>
          <w:szCs w:val="20"/>
          <w:lang w:eastAsia="en-US" w:bidi="en-US"/>
        </w:rPr>
        <w:t xml:space="preserve">two EU claims </w:t>
      </w:r>
      <w:r w:rsidRPr="0029537F">
        <w:rPr>
          <w:rFonts w:ascii="Arial" w:hAnsi="Arial" w:cs="Arial"/>
          <w:color w:val="auto"/>
          <w:sz w:val="22"/>
          <w:szCs w:val="20"/>
          <w:lang w:eastAsia="en-US" w:bidi="en-US"/>
        </w:rPr>
        <w:t xml:space="preserve">were deferred </w:t>
      </w:r>
      <w:r>
        <w:rPr>
          <w:rFonts w:ascii="Arial" w:hAnsi="Arial" w:cs="Arial"/>
          <w:color w:val="auto"/>
          <w:sz w:val="22"/>
          <w:szCs w:val="20"/>
          <w:lang w:eastAsia="en-US" w:bidi="en-US"/>
        </w:rPr>
        <w:t>for</w:t>
      </w:r>
      <w:r w:rsidRPr="0029537F">
        <w:rPr>
          <w:rFonts w:ascii="Arial" w:hAnsi="Arial" w:cs="Arial"/>
          <w:color w:val="auto"/>
          <w:sz w:val="22"/>
          <w:szCs w:val="20"/>
          <w:lang w:eastAsia="en-US" w:bidi="en-US"/>
        </w:rPr>
        <w:t xml:space="preserve"> further consider</w:t>
      </w:r>
      <w:r>
        <w:rPr>
          <w:rFonts w:ascii="Arial" w:hAnsi="Arial" w:cs="Arial"/>
          <w:color w:val="auto"/>
          <w:sz w:val="22"/>
          <w:szCs w:val="20"/>
          <w:lang w:eastAsia="en-US" w:bidi="en-US"/>
        </w:rPr>
        <w:t>ation</w:t>
      </w:r>
      <w:r w:rsidRPr="0029537F">
        <w:rPr>
          <w:rFonts w:ascii="Arial" w:hAnsi="Arial" w:cs="Arial"/>
          <w:color w:val="auto"/>
          <w:sz w:val="22"/>
          <w:szCs w:val="20"/>
          <w:lang w:eastAsia="en-US" w:bidi="en-US"/>
        </w:rPr>
        <w:t xml:space="preserve"> during the transition period for Standard 1.2.7 due to concerns about the differences in compositional conditions for the health claims and for </w:t>
      </w:r>
      <w:r>
        <w:rPr>
          <w:rFonts w:ascii="Arial" w:hAnsi="Arial" w:cs="Arial"/>
          <w:color w:val="auto"/>
          <w:sz w:val="22"/>
          <w:szCs w:val="20"/>
          <w:lang w:eastAsia="en-US" w:bidi="en-US"/>
        </w:rPr>
        <w:t>electrolyte drink</w:t>
      </w:r>
      <w:r w:rsidRPr="0029537F">
        <w:rPr>
          <w:rFonts w:ascii="Arial" w:hAnsi="Arial" w:cs="Arial"/>
          <w:color w:val="auto"/>
          <w:sz w:val="22"/>
          <w:szCs w:val="20"/>
          <w:lang w:eastAsia="en-US" w:bidi="en-US"/>
        </w:rPr>
        <w:t>s, and the fact that most</w:t>
      </w:r>
      <w:r>
        <w:rPr>
          <w:rFonts w:ascii="Arial" w:hAnsi="Arial" w:cs="Arial"/>
          <w:color w:val="auto"/>
          <w:sz w:val="22"/>
          <w:szCs w:val="20"/>
          <w:lang w:eastAsia="en-US" w:bidi="en-US"/>
        </w:rPr>
        <w:t xml:space="preserve"> electrolyte drinks could not meet the NPSC</w:t>
      </w:r>
      <w:r w:rsidRPr="0029537F">
        <w:rPr>
          <w:rFonts w:ascii="Arial" w:hAnsi="Arial" w:cs="Arial"/>
          <w:color w:val="auto"/>
          <w:sz w:val="22"/>
          <w:szCs w:val="20"/>
          <w:lang w:eastAsia="en-US" w:bidi="en-US"/>
        </w:rPr>
        <w:t>, which is a requirement for making a health claim</w:t>
      </w:r>
      <w:r>
        <w:rPr>
          <w:rFonts w:ascii="Arial" w:hAnsi="Arial" w:cs="Arial"/>
          <w:color w:val="auto"/>
          <w:sz w:val="22"/>
          <w:szCs w:val="20"/>
          <w:lang w:eastAsia="en-US" w:bidi="en-US"/>
        </w:rPr>
        <w:t xml:space="preserve"> regulated by Standard 1.2.7</w:t>
      </w:r>
      <w:r w:rsidRPr="0029537F">
        <w:rPr>
          <w:rFonts w:ascii="Arial" w:hAnsi="Arial" w:cs="Arial"/>
          <w:color w:val="auto"/>
          <w:sz w:val="22"/>
          <w:szCs w:val="20"/>
          <w:lang w:eastAsia="en-US" w:bidi="en-US"/>
        </w:rPr>
        <w:t xml:space="preserve">.  </w:t>
      </w:r>
    </w:p>
    <w:p w14:paraId="783D6AC8" w14:textId="77777777" w:rsidR="000A5427" w:rsidRPr="003B36D8" w:rsidRDefault="000A5427" w:rsidP="000A5427">
      <w:pPr>
        <w:pStyle w:val="Default"/>
        <w:spacing w:before="120" w:after="120"/>
        <w:rPr>
          <w:rFonts w:ascii="Arial" w:hAnsi="Arial" w:cs="Arial"/>
          <w:b/>
          <w:color w:val="auto"/>
          <w:sz w:val="22"/>
          <w:szCs w:val="20"/>
          <w:lang w:eastAsia="en-US" w:bidi="en-US"/>
        </w:rPr>
      </w:pPr>
      <w:r w:rsidRPr="003B36D8">
        <w:rPr>
          <w:rFonts w:ascii="Arial" w:hAnsi="Arial" w:cs="Arial"/>
          <w:b/>
          <w:color w:val="auto"/>
          <w:sz w:val="22"/>
          <w:szCs w:val="20"/>
          <w:lang w:eastAsia="en-US" w:bidi="en-US"/>
        </w:rPr>
        <w:t xml:space="preserve">Evidence for EU claims and conditions </w:t>
      </w:r>
    </w:p>
    <w:p w14:paraId="67367516" w14:textId="77777777" w:rsidR="000A5427" w:rsidRPr="0086223D" w:rsidRDefault="000A5427" w:rsidP="000A5427">
      <w:pPr>
        <w:pStyle w:val="Default"/>
        <w:spacing w:before="120" w:after="120"/>
        <w:rPr>
          <w:rFonts w:ascii="Arial" w:hAnsi="Arial" w:cs="Arial"/>
          <w:color w:val="auto"/>
          <w:sz w:val="22"/>
          <w:szCs w:val="22"/>
          <w:lang w:eastAsia="en-US" w:bidi="en-US"/>
        </w:rPr>
      </w:pPr>
      <w:r w:rsidRPr="0086223D">
        <w:rPr>
          <w:rFonts w:ascii="Arial" w:hAnsi="Arial" w:cs="Arial"/>
          <w:color w:val="auto"/>
          <w:sz w:val="22"/>
          <w:szCs w:val="22"/>
          <w:lang w:eastAsia="en-US" w:bidi="en-US"/>
        </w:rPr>
        <w:t xml:space="preserve">EFSA assessed </w:t>
      </w:r>
      <w:r>
        <w:rPr>
          <w:rFonts w:ascii="Arial" w:hAnsi="Arial" w:cs="Arial"/>
          <w:color w:val="auto"/>
          <w:sz w:val="22"/>
          <w:szCs w:val="22"/>
          <w:lang w:eastAsia="en-US" w:bidi="en-US"/>
        </w:rPr>
        <w:t>t</w:t>
      </w:r>
      <w:r w:rsidRPr="0086223D">
        <w:rPr>
          <w:rFonts w:ascii="Arial" w:hAnsi="Arial" w:cs="Arial"/>
          <w:color w:val="auto"/>
          <w:sz w:val="22"/>
          <w:szCs w:val="22"/>
          <w:lang w:eastAsia="en-US" w:bidi="en-US"/>
        </w:rPr>
        <w:t xml:space="preserve">he </w:t>
      </w:r>
      <w:r>
        <w:rPr>
          <w:rFonts w:ascii="Arial" w:hAnsi="Arial" w:cs="Arial"/>
          <w:color w:val="auto"/>
          <w:sz w:val="22"/>
          <w:szCs w:val="22"/>
          <w:lang w:eastAsia="en-US" w:bidi="en-US"/>
        </w:rPr>
        <w:t xml:space="preserve">evidence for the </w:t>
      </w:r>
      <w:r w:rsidRPr="0086223D">
        <w:rPr>
          <w:rFonts w:ascii="Arial" w:hAnsi="Arial" w:cs="Arial"/>
          <w:color w:val="auto"/>
          <w:sz w:val="22"/>
          <w:szCs w:val="22"/>
          <w:lang w:eastAsia="en-US" w:bidi="en-US"/>
        </w:rPr>
        <w:t>two claims for</w:t>
      </w:r>
      <w:r>
        <w:rPr>
          <w:rFonts w:ascii="Arial" w:hAnsi="Arial" w:cs="Arial"/>
          <w:color w:val="auto"/>
          <w:sz w:val="22"/>
          <w:szCs w:val="22"/>
          <w:lang w:eastAsia="en-US" w:bidi="en-US"/>
        </w:rPr>
        <w:t xml:space="preserve"> electrolyte drinks </w:t>
      </w:r>
      <w:r w:rsidRPr="0086223D">
        <w:rPr>
          <w:rFonts w:ascii="Arial" w:hAnsi="Arial" w:cs="Arial"/>
          <w:color w:val="auto"/>
          <w:sz w:val="22"/>
          <w:szCs w:val="22"/>
          <w:lang w:eastAsia="en-US" w:bidi="en-US"/>
        </w:rPr>
        <w:t>in 2011. The evidence was not assessed by systematic review</w:t>
      </w:r>
      <w:r>
        <w:rPr>
          <w:rFonts w:ascii="Arial" w:hAnsi="Arial" w:cs="Arial"/>
          <w:color w:val="auto"/>
          <w:sz w:val="22"/>
          <w:szCs w:val="22"/>
          <w:lang w:eastAsia="en-US" w:bidi="en-US"/>
        </w:rPr>
        <w:t>,</w:t>
      </w:r>
      <w:r w:rsidRPr="0086223D">
        <w:rPr>
          <w:rFonts w:ascii="Arial" w:hAnsi="Arial" w:cs="Arial"/>
          <w:color w:val="auto"/>
          <w:sz w:val="22"/>
          <w:szCs w:val="22"/>
          <w:lang w:eastAsia="en-US" w:bidi="en-US"/>
        </w:rPr>
        <w:t xml:space="preserve"> rather </w:t>
      </w:r>
      <w:r>
        <w:rPr>
          <w:rFonts w:ascii="Arial" w:hAnsi="Arial" w:cs="Arial"/>
          <w:color w:val="auto"/>
          <w:sz w:val="22"/>
          <w:szCs w:val="22"/>
          <w:lang w:eastAsia="en-US" w:bidi="en-US"/>
        </w:rPr>
        <w:t>the EFSA opinion</w:t>
      </w:r>
      <w:r>
        <w:rPr>
          <w:rStyle w:val="FootnoteReference"/>
          <w:rFonts w:ascii="Arial" w:hAnsi="Arial" w:cs="Arial"/>
          <w:color w:val="auto"/>
          <w:sz w:val="22"/>
          <w:szCs w:val="20"/>
          <w:lang w:eastAsia="en-US" w:bidi="en-US"/>
        </w:rPr>
        <w:footnoteReference w:id="13"/>
      </w:r>
      <w:r>
        <w:rPr>
          <w:rFonts w:ascii="Arial" w:hAnsi="Arial" w:cs="Arial"/>
          <w:color w:val="auto"/>
          <w:sz w:val="22"/>
          <w:szCs w:val="22"/>
          <w:lang w:eastAsia="en-US" w:bidi="en-US"/>
        </w:rPr>
        <w:t xml:space="preserve"> was based</w:t>
      </w:r>
      <w:r w:rsidRPr="0086223D">
        <w:rPr>
          <w:rFonts w:ascii="Arial" w:hAnsi="Arial" w:cs="Arial"/>
          <w:color w:val="auto"/>
          <w:sz w:val="22"/>
          <w:szCs w:val="22"/>
          <w:lang w:eastAsia="en-US" w:bidi="en-US"/>
        </w:rPr>
        <w:t xml:space="preserve"> </w:t>
      </w:r>
      <w:r>
        <w:rPr>
          <w:rFonts w:ascii="Arial" w:hAnsi="Arial" w:cs="Arial"/>
          <w:color w:val="auto"/>
          <w:sz w:val="22"/>
          <w:szCs w:val="22"/>
          <w:lang w:eastAsia="en-US" w:bidi="en-US"/>
        </w:rPr>
        <w:t>on</w:t>
      </w:r>
      <w:r w:rsidRPr="0086223D">
        <w:rPr>
          <w:rFonts w:ascii="Arial" w:hAnsi="Arial" w:cs="Arial"/>
          <w:color w:val="auto"/>
          <w:sz w:val="22"/>
          <w:szCs w:val="22"/>
          <w:lang w:eastAsia="en-US" w:bidi="en-US"/>
        </w:rPr>
        <w:t xml:space="preserve"> consensus opinions/reports from authoritative bodies. </w:t>
      </w:r>
      <w:r>
        <w:rPr>
          <w:rFonts w:ascii="Arial" w:hAnsi="Arial" w:cs="Arial"/>
          <w:color w:val="auto"/>
          <w:sz w:val="22"/>
          <w:szCs w:val="22"/>
          <w:lang w:eastAsia="en-US" w:bidi="en-US"/>
        </w:rPr>
        <w:t>EFSA explained its reasons as follows (1):</w:t>
      </w:r>
    </w:p>
    <w:p w14:paraId="2F36C5B4" w14:textId="77777777" w:rsidR="000A5427" w:rsidRDefault="000A5427" w:rsidP="000A5427">
      <w:pPr>
        <w:widowControl/>
        <w:autoSpaceDE w:val="0"/>
        <w:autoSpaceDN w:val="0"/>
        <w:adjustRightInd w:val="0"/>
        <w:spacing w:before="120" w:after="120"/>
        <w:ind w:left="567"/>
        <w:rPr>
          <w:rFonts w:cs="Arial"/>
          <w:sz w:val="20"/>
          <w:lang w:val="en" w:eastAsia="en-GB"/>
        </w:rPr>
      </w:pPr>
      <w:r w:rsidRPr="0054090A">
        <w:rPr>
          <w:sz w:val="20"/>
        </w:rPr>
        <w:t>“</w:t>
      </w:r>
      <w:r w:rsidRPr="0086223D">
        <w:rPr>
          <w:rFonts w:cs="Arial"/>
          <w:sz w:val="20"/>
          <w:lang w:val="en" w:eastAsia="en-GB"/>
        </w:rPr>
        <w:t xml:space="preserve">In cases where there is consensus among scientific experts in the field that a claim is substantiated as evidenced by reports from authoritative scientific bodies, EFSA may base its assessment solely on those reports (e.g., claims on the long established physiological functions of vitamins, essential micronutrients, macronutrients, and water). </w:t>
      </w:r>
    </w:p>
    <w:p w14:paraId="634B55C4" w14:textId="77777777" w:rsidR="000A5427" w:rsidRPr="0054090A" w:rsidRDefault="000A5427" w:rsidP="000A5427">
      <w:pPr>
        <w:widowControl/>
        <w:autoSpaceDE w:val="0"/>
        <w:autoSpaceDN w:val="0"/>
        <w:adjustRightInd w:val="0"/>
        <w:spacing w:before="120" w:after="120"/>
        <w:ind w:left="567"/>
        <w:rPr>
          <w:sz w:val="20"/>
        </w:rPr>
      </w:pPr>
      <w:r w:rsidRPr="0054090A">
        <w:rPr>
          <w:sz w:val="20"/>
        </w:rPr>
        <w:t xml:space="preserve">For example the assessment of the claim on carbohydrate electrolyte solutions related to the ‘maintenance of endurance performance’ was based on a number of such reports, three of which were cited in the opinion – that of the EU Scientific Committee on Food in 2001 (4) and the reports of the American College of Sports Medicine in 2007 and 2009 (5,6). These reports reflect the consensus opinion of experts based on a large body of scientific evidence on the physiological benefits of consuming fluids and carbohydrate during prolonged (endurance) exercise, generally lasting more than one hour. </w:t>
      </w:r>
    </w:p>
    <w:p w14:paraId="5C263610" w14:textId="77777777" w:rsidR="000A5427" w:rsidRDefault="000A5427" w:rsidP="000A5427">
      <w:pPr>
        <w:widowControl/>
        <w:autoSpaceDE w:val="0"/>
        <w:autoSpaceDN w:val="0"/>
        <w:adjustRightInd w:val="0"/>
        <w:spacing w:before="120" w:after="120"/>
        <w:ind w:left="567"/>
        <w:rPr>
          <w:sz w:val="20"/>
        </w:rPr>
      </w:pPr>
      <w:r w:rsidRPr="0054090A">
        <w:rPr>
          <w:sz w:val="20"/>
        </w:rPr>
        <w:t>EFSA’s conclusion that this claim is substantiated is supported by a more recent meta-analysis of 50 randomised controlled trials performed between 1982 and 2011 (7), none of which were among the 54 references submitted to EFSA for this claim.”</w:t>
      </w:r>
      <w:r>
        <w:rPr>
          <w:sz w:val="20"/>
        </w:rPr>
        <w:t>.</w:t>
      </w:r>
    </w:p>
    <w:p w14:paraId="40F4F94D" w14:textId="77777777" w:rsidR="000A5427" w:rsidRDefault="000A5427" w:rsidP="000A5427">
      <w:pPr>
        <w:pStyle w:val="FSBullet1"/>
        <w:numPr>
          <w:ilvl w:val="0"/>
          <w:numId w:val="0"/>
        </w:numPr>
        <w:spacing w:before="120" w:after="120"/>
        <w:rPr>
          <w:szCs w:val="22"/>
        </w:rPr>
      </w:pPr>
      <w:r>
        <w:t xml:space="preserve">Both </w:t>
      </w:r>
      <w:r w:rsidRPr="003B5192">
        <w:t xml:space="preserve">EFSA’s </w:t>
      </w:r>
      <w:r>
        <w:t>opinion</w:t>
      </w:r>
      <w:r w:rsidRPr="003B5192">
        <w:t xml:space="preserve"> and SD1 refer to </w:t>
      </w:r>
      <w:r>
        <w:t xml:space="preserve">the relevant population group as active healthy young individuals performing endurance exercise. Also mentioned is </w:t>
      </w:r>
      <w:r w:rsidRPr="003B5192">
        <w:t xml:space="preserve">the </w:t>
      </w:r>
      <w:r>
        <w:t>importance</w:t>
      </w:r>
      <w:r w:rsidRPr="003B5192">
        <w:t xml:space="preserve"> </w:t>
      </w:r>
      <w:r>
        <w:t>of</w:t>
      </w:r>
      <w:r w:rsidRPr="003B5192">
        <w:t xml:space="preserve"> tak</w:t>
      </w:r>
      <w:r>
        <w:t>ing</w:t>
      </w:r>
      <w:r w:rsidRPr="003B5192">
        <w:t xml:space="preserve"> fluids during strenuous physical activity to prevent body water loss </w:t>
      </w:r>
      <w:r>
        <w:t xml:space="preserve">greater than </w:t>
      </w:r>
      <w:r w:rsidRPr="003B5192">
        <w:t xml:space="preserve">2% body weight to ensure performance is not adversely affected. </w:t>
      </w:r>
      <w:r>
        <w:t xml:space="preserve">EFSA further indicates that water loss greater than 2% body weight </w:t>
      </w:r>
      <w:r w:rsidRPr="000C4942">
        <w:t>reduce</w:t>
      </w:r>
      <w:r>
        <w:t>s</w:t>
      </w:r>
      <w:r w:rsidRPr="000C4942">
        <w:t xml:space="preserve"> physical </w:t>
      </w:r>
      <w:r>
        <w:t>performance</w:t>
      </w:r>
      <w:r w:rsidRPr="000C4942">
        <w:t xml:space="preserve">, especially when </w:t>
      </w:r>
      <w:r>
        <w:t xml:space="preserve">it is </w:t>
      </w:r>
      <w:r w:rsidRPr="000C4942">
        <w:t xml:space="preserve">taking place over long periods </w:t>
      </w:r>
      <w:r>
        <w:t xml:space="preserve">or </w:t>
      </w:r>
      <w:r w:rsidRPr="000C4942">
        <w:t>in hot weather</w:t>
      </w:r>
      <w:r>
        <w:rPr>
          <w:color w:val="0070C0"/>
        </w:rPr>
        <w:t>.</w:t>
      </w:r>
      <w:r w:rsidRPr="000C4942">
        <w:rPr>
          <w:color w:val="0070C0"/>
        </w:rPr>
        <w:t xml:space="preserve"> </w:t>
      </w:r>
    </w:p>
    <w:p w14:paraId="110CD19F" w14:textId="77777777" w:rsidR="000A5427" w:rsidRPr="00C47293" w:rsidRDefault="000A5427" w:rsidP="000A5427">
      <w:pPr>
        <w:widowControl/>
        <w:spacing w:before="120" w:after="120"/>
        <w:rPr>
          <w:bCs/>
          <w:lang w:bidi="ar-SA"/>
        </w:rPr>
      </w:pPr>
      <w:r w:rsidRPr="00C47293">
        <w:rPr>
          <w:bCs/>
          <w:lang w:bidi="ar-SA"/>
        </w:rPr>
        <w:t xml:space="preserve">EFSA’s assessment of two health effects that </w:t>
      </w:r>
      <w:r>
        <w:rPr>
          <w:bCs/>
          <w:lang w:bidi="ar-SA"/>
        </w:rPr>
        <w:t>received</w:t>
      </w:r>
      <w:r w:rsidRPr="00C47293">
        <w:rPr>
          <w:bCs/>
          <w:lang w:bidi="ar-SA"/>
        </w:rPr>
        <w:t xml:space="preserve"> </w:t>
      </w:r>
      <w:r>
        <w:rPr>
          <w:bCs/>
          <w:lang w:bidi="ar-SA"/>
        </w:rPr>
        <w:t xml:space="preserve">its </w:t>
      </w:r>
      <w:r w:rsidRPr="00C47293">
        <w:rPr>
          <w:bCs/>
          <w:lang w:bidi="ar-SA"/>
        </w:rPr>
        <w:t>suppor</w:t>
      </w:r>
      <w:r>
        <w:rPr>
          <w:bCs/>
          <w:lang w:bidi="ar-SA"/>
        </w:rPr>
        <w:t>t</w:t>
      </w:r>
      <w:r w:rsidRPr="00C47293">
        <w:rPr>
          <w:bCs/>
          <w:lang w:bidi="ar-SA"/>
        </w:rPr>
        <w:t xml:space="preserve"> are as follows:</w:t>
      </w:r>
    </w:p>
    <w:p w14:paraId="33D281A7" w14:textId="77777777" w:rsidR="000A5427" w:rsidRPr="00C47293" w:rsidRDefault="000A5427" w:rsidP="000A5427">
      <w:pPr>
        <w:widowControl/>
        <w:spacing w:before="120" w:after="120"/>
        <w:rPr>
          <w:lang w:bidi="ar-SA"/>
        </w:rPr>
      </w:pPr>
      <w:r w:rsidRPr="00C47293">
        <w:rPr>
          <w:b/>
          <w:bCs/>
          <w:lang w:bidi="ar-SA"/>
        </w:rPr>
        <w:t xml:space="preserve">Enhancement of water absorption during exercise </w:t>
      </w:r>
    </w:p>
    <w:p w14:paraId="2DC4A2AF" w14:textId="77777777" w:rsidR="000A5427" w:rsidRPr="00C47293" w:rsidRDefault="000A5427" w:rsidP="000A5427">
      <w:pPr>
        <w:pStyle w:val="FSBullet1"/>
        <w:numPr>
          <w:ilvl w:val="0"/>
          <w:numId w:val="5"/>
        </w:numPr>
        <w:spacing w:before="120" w:after="120"/>
        <w:ind w:left="567" w:hanging="567"/>
      </w:pPr>
      <w:r w:rsidRPr="00C47293">
        <w:rPr>
          <w:szCs w:val="20"/>
          <w:lang w:bidi="en-US"/>
        </w:rPr>
        <w:t>In EFSA’s view “</w:t>
      </w:r>
      <w:r w:rsidRPr="00C47293">
        <w:t xml:space="preserve">The evidence provided by consensus opinions/reports from authoritative bodies shows that glucose-electrolyte solutions with an osmolality which is isotonic or slightly hypotonic with respect to plasma (i.e. 200-330 mOsm/kg water) maximise the rate of water uptake, and that the addition of carbohydrates to electrolyte solutions promotes water absorption in the small intestine. Sodium in a concentration between 20-50 mmol/L stimulates carbohydrate and water uptake in the small intestine, and helps to maintain extracellular fluid </w:t>
      </w:r>
      <w:r w:rsidRPr="00E02E25">
        <w:t>volume (SCF, 2001).</w:t>
      </w:r>
      <w:r w:rsidRPr="00C47293">
        <w:t xml:space="preserve">  </w:t>
      </w:r>
    </w:p>
    <w:p w14:paraId="6BA1E432" w14:textId="77777777" w:rsidR="000A5427" w:rsidRPr="00C47293" w:rsidRDefault="000A5427" w:rsidP="000A5427">
      <w:pPr>
        <w:pStyle w:val="FSBullet1"/>
        <w:numPr>
          <w:ilvl w:val="0"/>
          <w:numId w:val="5"/>
        </w:numPr>
        <w:spacing w:before="120" w:after="120"/>
        <w:ind w:left="567" w:hanging="567"/>
      </w:pPr>
      <w:r w:rsidRPr="00C47293">
        <w:lastRenderedPageBreak/>
        <w:t>EFSA concluded “</w:t>
      </w:r>
      <w:r w:rsidRPr="00C47293">
        <w:rPr>
          <w:szCs w:val="22"/>
        </w:rPr>
        <w:t xml:space="preserve">that a cause and effect relationship has been established between the consumption of carbohydrate-electrolyte solutions and enhancement of water absorption during exercise.”. </w:t>
      </w:r>
    </w:p>
    <w:p w14:paraId="3CBC3D16" w14:textId="77777777" w:rsidR="000A5427" w:rsidRPr="00C47293" w:rsidRDefault="000A5427" w:rsidP="000A5427">
      <w:pPr>
        <w:widowControl/>
        <w:rPr>
          <w:lang w:bidi="ar-SA"/>
        </w:rPr>
      </w:pPr>
      <w:r w:rsidRPr="00C47293">
        <w:rPr>
          <w:b/>
          <w:bCs/>
          <w:lang w:bidi="ar-SA"/>
        </w:rPr>
        <w:t xml:space="preserve">Maintenance of endurance performance </w:t>
      </w:r>
    </w:p>
    <w:p w14:paraId="1C8056A0" w14:textId="77777777" w:rsidR="000A5427" w:rsidRPr="00E02E25" w:rsidRDefault="000A5427" w:rsidP="000A5427">
      <w:pPr>
        <w:pStyle w:val="FSBullet1"/>
        <w:numPr>
          <w:ilvl w:val="0"/>
          <w:numId w:val="5"/>
        </w:numPr>
        <w:spacing w:before="120" w:after="120"/>
        <w:ind w:left="567" w:hanging="567"/>
      </w:pPr>
      <w:r w:rsidRPr="00C47293">
        <w:t>In EFSA’s view “The evidence provided by consensus opinions</w:t>
      </w:r>
      <w:r w:rsidRPr="000C4942">
        <w:t xml:space="preserve">/reports from authoritative bodies such as the SCF or the American College of Sports Medicine shows that there is good consensus on the role of beverages containing carbohydrates and electrolytes (in particular sodium) in maintaining performance during prolonged endurance exercise, relative to plain water, and that the consumption of beverages containing electrolytes and carbohydrates during exercise can help maintain fluid and electrolyte balance, as well as endurance exercise </w:t>
      </w:r>
      <w:r w:rsidRPr="00E02E25">
        <w:t xml:space="preserve">performance (Rodriguez et al., 2009; Sawka et al., 2007; SCF, 2001). </w:t>
      </w:r>
    </w:p>
    <w:p w14:paraId="0288059B" w14:textId="77777777" w:rsidR="000A5427" w:rsidRPr="000C4942" w:rsidRDefault="000A5427" w:rsidP="000A5427">
      <w:pPr>
        <w:pStyle w:val="FSBullet1"/>
        <w:numPr>
          <w:ilvl w:val="0"/>
          <w:numId w:val="5"/>
        </w:numPr>
        <w:spacing w:before="120" w:after="120"/>
        <w:ind w:left="567" w:hanging="567"/>
      </w:pPr>
      <w:r w:rsidRPr="000C4942">
        <w:t xml:space="preserve">EFSA concluded </w:t>
      </w:r>
      <w:r>
        <w:t>‘</w:t>
      </w:r>
      <w:r w:rsidRPr="000C4942">
        <w:t xml:space="preserve">that a cause and effect relationship has been established between the consumption of carbohydrate-electrolyte solutions and maintenance of endurance performance.” </w:t>
      </w:r>
    </w:p>
    <w:p w14:paraId="374BB7BE" w14:textId="77777777" w:rsidR="000A5427" w:rsidRDefault="000A5427" w:rsidP="000A5427">
      <w:pPr>
        <w:widowControl/>
        <w:autoSpaceDE w:val="0"/>
        <w:autoSpaceDN w:val="0"/>
        <w:adjustRightInd w:val="0"/>
        <w:spacing w:before="120" w:after="120"/>
      </w:pPr>
      <w:r>
        <w:t>The resultant EU claims and conditions are shown in Table A1.</w:t>
      </w:r>
    </w:p>
    <w:p w14:paraId="6ED4C2D9" w14:textId="77777777" w:rsidR="000A5427" w:rsidRPr="00911344" w:rsidRDefault="000A5427" w:rsidP="000A5427">
      <w:pPr>
        <w:widowControl/>
        <w:spacing w:before="120" w:after="120"/>
        <w:rPr>
          <w:b/>
          <w:sz w:val="20"/>
        </w:rPr>
      </w:pPr>
      <w:r w:rsidRPr="00911344">
        <w:rPr>
          <w:b/>
          <w:sz w:val="20"/>
        </w:rPr>
        <w:t xml:space="preserve">Table </w:t>
      </w:r>
      <w:r>
        <w:rPr>
          <w:b/>
          <w:sz w:val="20"/>
        </w:rPr>
        <w:t xml:space="preserve">A1: Authorised </w:t>
      </w:r>
      <w:r w:rsidRPr="00911344">
        <w:rPr>
          <w:b/>
          <w:sz w:val="20"/>
        </w:rPr>
        <w:t>EU health claims for carbohydrate electrolyte solutions</w:t>
      </w:r>
      <w:r w:rsidRPr="00911344">
        <w:rPr>
          <w:rStyle w:val="FootnoteReference"/>
          <w:b/>
          <w:sz w:val="20"/>
        </w:rPr>
        <w:footnoteReference w:id="14"/>
      </w:r>
    </w:p>
    <w:tbl>
      <w:tblPr>
        <w:tblStyle w:val="TableGrid"/>
        <w:tblW w:w="5000" w:type="pct"/>
        <w:tblLook w:val="04A0" w:firstRow="1" w:lastRow="0" w:firstColumn="1" w:lastColumn="0" w:noHBand="0" w:noVBand="1"/>
        <w:tblCaption w:val="Authorised EU health claims for carbohydrate electrolyte solutions "/>
        <w:tblDescription w:val="Table A1 descirbes the authorised EU health claims for carbohydrate electrolyte solutions "/>
      </w:tblPr>
      <w:tblGrid>
        <w:gridCol w:w="2584"/>
        <w:gridCol w:w="6476"/>
      </w:tblGrid>
      <w:tr w:rsidR="000A5427" w:rsidRPr="00BC6746" w14:paraId="23F5975D" w14:textId="77777777" w:rsidTr="000A5427">
        <w:trPr>
          <w:tblHeader/>
        </w:trPr>
        <w:tc>
          <w:tcPr>
            <w:tcW w:w="1426" w:type="pct"/>
          </w:tcPr>
          <w:p w14:paraId="7343F2F8" w14:textId="77777777" w:rsidR="000A5427" w:rsidRPr="00BC6746" w:rsidRDefault="000A5427" w:rsidP="000A5427">
            <w:pPr>
              <w:widowControl/>
              <w:spacing w:before="84" w:after="84"/>
              <w:rPr>
                <w:rFonts w:cs="Arial"/>
                <w:b/>
                <w:sz w:val="20"/>
                <w:szCs w:val="20"/>
              </w:rPr>
            </w:pPr>
            <w:r w:rsidRPr="00BC6746">
              <w:rPr>
                <w:rFonts w:cs="Arial"/>
                <w:b/>
                <w:sz w:val="20"/>
                <w:szCs w:val="20"/>
              </w:rPr>
              <w:t>Claim</w:t>
            </w:r>
          </w:p>
        </w:tc>
        <w:tc>
          <w:tcPr>
            <w:tcW w:w="3574" w:type="pct"/>
          </w:tcPr>
          <w:p w14:paraId="10CD02EA" w14:textId="77777777" w:rsidR="000A5427" w:rsidRPr="00BC6746" w:rsidRDefault="000A5427" w:rsidP="000A5427">
            <w:pPr>
              <w:widowControl/>
              <w:spacing w:before="84" w:after="84"/>
              <w:rPr>
                <w:rFonts w:cs="Arial"/>
                <w:b/>
                <w:sz w:val="20"/>
                <w:szCs w:val="20"/>
              </w:rPr>
            </w:pPr>
            <w:r w:rsidRPr="00BC6746">
              <w:rPr>
                <w:rFonts w:cs="Arial"/>
                <w:b/>
                <w:sz w:val="20"/>
                <w:szCs w:val="20"/>
              </w:rPr>
              <w:t>Conditions for use</w:t>
            </w:r>
          </w:p>
        </w:tc>
      </w:tr>
      <w:tr w:rsidR="000A5427" w:rsidRPr="00BC6746" w14:paraId="2BF59758" w14:textId="77777777" w:rsidTr="000A5427">
        <w:tc>
          <w:tcPr>
            <w:tcW w:w="1426" w:type="pct"/>
          </w:tcPr>
          <w:p w14:paraId="1FBC81C9" w14:textId="77777777" w:rsidR="000A5427" w:rsidRPr="00BC6746" w:rsidRDefault="000A5427" w:rsidP="000A5427">
            <w:pPr>
              <w:widowControl/>
              <w:spacing w:before="84" w:after="84"/>
              <w:rPr>
                <w:rFonts w:cs="Arial"/>
                <w:sz w:val="20"/>
                <w:szCs w:val="20"/>
              </w:rPr>
            </w:pPr>
            <w:r w:rsidRPr="00BC6746">
              <w:rPr>
                <w:rFonts w:cs="Arial"/>
                <w:sz w:val="20"/>
                <w:szCs w:val="20"/>
              </w:rPr>
              <w:t>Carbohydrate-electrolyte solutions enhance the absorption of water during physical exercise</w:t>
            </w:r>
          </w:p>
        </w:tc>
        <w:tc>
          <w:tcPr>
            <w:tcW w:w="3574" w:type="pct"/>
          </w:tcPr>
          <w:p w14:paraId="1DCBBBF0" w14:textId="77777777" w:rsidR="000A5427" w:rsidRPr="00BC6746" w:rsidRDefault="000A5427" w:rsidP="000A5427">
            <w:pPr>
              <w:widowControl/>
              <w:spacing w:before="84" w:after="84"/>
              <w:rPr>
                <w:rFonts w:cs="Arial"/>
                <w:sz w:val="20"/>
                <w:szCs w:val="20"/>
              </w:rPr>
            </w:pPr>
            <w:r w:rsidRPr="00BC6746">
              <w:rPr>
                <w:rFonts w:cs="Arial"/>
                <w:sz w:val="20"/>
                <w:szCs w:val="20"/>
              </w:rPr>
              <w:t xml:space="preserve">In order to bear the claim carbohydrate-electrolyte solutions should contain 80-350 kcal/L from carbohydrates, and at </w:t>
            </w:r>
            <w:r w:rsidRPr="00FF6CE6">
              <w:rPr>
                <w:rFonts w:cs="Arial"/>
                <w:sz w:val="20"/>
                <w:szCs w:val="20"/>
              </w:rPr>
              <w:t>least</w:t>
            </w:r>
            <w:r w:rsidRPr="00BC6746">
              <w:rPr>
                <w:rFonts w:cs="Arial"/>
                <w:sz w:val="20"/>
                <w:szCs w:val="20"/>
              </w:rPr>
              <w:t xml:space="preserve"> 75% of the energy should be derived from carbohydrates which induce a high glycaemic response, such as glucose, glucose polymers and sucrose. In addition, these beverages should contain between 20 mmol/L (460 mg/L) and 50 mmol/L (1,150 mg/L) of sodium, and have an osmolality between 200-330 mOsm/kg water.</w:t>
            </w:r>
            <w:r>
              <w:rPr>
                <w:rFonts w:cs="Arial"/>
                <w:sz w:val="20"/>
                <w:szCs w:val="20"/>
              </w:rPr>
              <w:t xml:space="preserve"> </w:t>
            </w:r>
          </w:p>
        </w:tc>
      </w:tr>
      <w:tr w:rsidR="000A5427" w:rsidRPr="00BC6746" w14:paraId="4AE655A2" w14:textId="77777777" w:rsidTr="000A5427">
        <w:tc>
          <w:tcPr>
            <w:tcW w:w="1426" w:type="pct"/>
          </w:tcPr>
          <w:p w14:paraId="07BBC471" w14:textId="77777777" w:rsidR="000A5427" w:rsidRPr="00BC6746" w:rsidRDefault="000A5427" w:rsidP="000A5427">
            <w:pPr>
              <w:widowControl/>
              <w:spacing w:before="84" w:after="84"/>
              <w:rPr>
                <w:rFonts w:cs="Arial"/>
                <w:sz w:val="20"/>
                <w:szCs w:val="20"/>
              </w:rPr>
            </w:pPr>
            <w:r w:rsidRPr="0006653F">
              <w:rPr>
                <w:rFonts w:cs="Arial"/>
                <w:color w:val="000000"/>
                <w:sz w:val="20"/>
                <w:szCs w:val="20"/>
                <w:lang w:eastAsia="en-GB" w:bidi="ar-SA"/>
              </w:rPr>
              <w:t>Carbohydrate-electrolyte solutions contribute to the maintenance of endurance performance during prolonged endurance exercise</w:t>
            </w:r>
          </w:p>
        </w:tc>
        <w:tc>
          <w:tcPr>
            <w:tcW w:w="3574" w:type="pct"/>
          </w:tcPr>
          <w:p w14:paraId="496BE2BD" w14:textId="77777777" w:rsidR="000A5427" w:rsidRPr="00BC6746" w:rsidRDefault="000A5427" w:rsidP="000A5427">
            <w:pPr>
              <w:widowControl/>
              <w:spacing w:before="84" w:after="84"/>
              <w:rPr>
                <w:rFonts w:cs="Arial"/>
                <w:sz w:val="20"/>
                <w:szCs w:val="20"/>
              </w:rPr>
            </w:pPr>
            <w:r w:rsidRPr="0006653F">
              <w:rPr>
                <w:rFonts w:cs="Arial"/>
                <w:color w:val="000000"/>
                <w:sz w:val="20"/>
                <w:szCs w:val="20"/>
                <w:lang w:eastAsia="en-GB" w:bidi="ar-SA"/>
              </w:rPr>
              <w:t>In order to bear the claim carbohydrate-electrolyte solutions should contain 80-350 kcal/L from carbohydrates, and at least 75 % of the energy should be derived from carbohydrates which induce a high glycaemic response, such as glucose, glucose polymers and sucrose. In addition, these beverages should contain between 20 mmol/L (460 mg/L) and 50 mmol/L (1,150 mg/L) of sodium, and have an osmolality between 200-330 mOsm/kg water</w:t>
            </w:r>
            <w:r>
              <w:rPr>
                <w:rFonts w:cs="Arial"/>
                <w:color w:val="000000"/>
                <w:sz w:val="20"/>
                <w:szCs w:val="20"/>
                <w:lang w:eastAsia="en-GB" w:bidi="ar-SA"/>
              </w:rPr>
              <w:t>.</w:t>
            </w:r>
          </w:p>
        </w:tc>
      </w:tr>
    </w:tbl>
    <w:p w14:paraId="0170140D" w14:textId="77777777" w:rsidR="000A5427" w:rsidRDefault="000A5427" w:rsidP="000A5427">
      <w:pPr>
        <w:pStyle w:val="Default"/>
        <w:spacing w:before="120" w:after="120"/>
        <w:rPr>
          <w:rFonts w:ascii="Arial" w:hAnsi="Arial" w:cs="Arial"/>
          <w:color w:val="auto"/>
          <w:sz w:val="22"/>
          <w:szCs w:val="20"/>
          <w:lang w:eastAsia="en-US" w:bidi="en-US"/>
        </w:rPr>
      </w:pPr>
      <w:r>
        <w:rPr>
          <w:rFonts w:ascii="Arial" w:hAnsi="Arial" w:cs="Arial"/>
          <w:color w:val="auto"/>
          <w:sz w:val="22"/>
          <w:szCs w:val="20"/>
          <w:lang w:eastAsia="en-US" w:bidi="en-US"/>
        </w:rPr>
        <w:t xml:space="preserve">Note that FSANZ is not considering another more recent and as </w:t>
      </w:r>
      <w:r w:rsidRPr="00E03395">
        <w:rPr>
          <w:rFonts w:ascii="Arial" w:hAnsi="Arial" w:cs="Arial"/>
          <w:color w:val="auto"/>
          <w:sz w:val="22"/>
          <w:szCs w:val="20"/>
          <w:lang w:eastAsia="en-US" w:bidi="en-US"/>
        </w:rPr>
        <w:t xml:space="preserve">yet </w:t>
      </w:r>
      <w:r>
        <w:rPr>
          <w:rFonts w:ascii="Arial" w:hAnsi="Arial" w:cs="Arial"/>
          <w:color w:val="auto"/>
          <w:sz w:val="22"/>
          <w:szCs w:val="20"/>
          <w:lang w:eastAsia="en-US" w:bidi="en-US"/>
        </w:rPr>
        <w:t>un</w:t>
      </w:r>
      <w:r w:rsidRPr="00E03395">
        <w:rPr>
          <w:rFonts w:ascii="Arial" w:hAnsi="Arial" w:cs="Arial"/>
          <w:color w:val="auto"/>
          <w:sz w:val="22"/>
          <w:szCs w:val="20"/>
          <w:lang w:eastAsia="en-US" w:bidi="en-US"/>
        </w:rPr>
        <w:t>authorised</w:t>
      </w:r>
      <w:r>
        <w:rPr>
          <w:rFonts w:ascii="Arial" w:hAnsi="Arial" w:cs="Arial"/>
          <w:color w:val="auto"/>
          <w:sz w:val="22"/>
          <w:szCs w:val="20"/>
          <w:lang w:eastAsia="en-US" w:bidi="en-US"/>
        </w:rPr>
        <w:t xml:space="preserve"> EU claim for carbohydrate solutions</w:t>
      </w:r>
      <w:r>
        <w:rPr>
          <w:rStyle w:val="FootnoteReference"/>
          <w:rFonts w:ascii="Arial" w:hAnsi="Arial" w:cs="Arial"/>
          <w:color w:val="auto"/>
          <w:sz w:val="22"/>
          <w:szCs w:val="20"/>
          <w:lang w:eastAsia="en-US" w:bidi="en-US"/>
        </w:rPr>
        <w:footnoteReference w:id="15"/>
      </w:r>
      <w:r>
        <w:rPr>
          <w:rFonts w:ascii="Arial" w:hAnsi="Arial" w:cs="Arial"/>
          <w:color w:val="auto"/>
          <w:sz w:val="22"/>
          <w:szCs w:val="20"/>
          <w:lang w:eastAsia="en-US" w:bidi="en-US"/>
        </w:rPr>
        <w:t xml:space="preserve">.  </w:t>
      </w:r>
    </w:p>
    <w:p w14:paraId="43BDF54A" w14:textId="77777777" w:rsidR="000A5427" w:rsidRDefault="000A5427" w:rsidP="000A5427">
      <w:pPr>
        <w:widowControl/>
        <w:autoSpaceDE w:val="0"/>
        <w:autoSpaceDN w:val="0"/>
        <w:adjustRightInd w:val="0"/>
        <w:spacing w:before="120" w:after="120"/>
        <w:rPr>
          <w:szCs w:val="22"/>
        </w:rPr>
      </w:pPr>
    </w:p>
    <w:p w14:paraId="6977E50F" w14:textId="77777777" w:rsidR="000A5427" w:rsidRDefault="000A5427" w:rsidP="000A5427">
      <w:pPr>
        <w:widowControl/>
        <w:spacing w:before="120" w:after="120"/>
        <w:rPr>
          <w:rFonts w:cs="Arial"/>
          <w:b/>
          <w:sz w:val="20"/>
          <w:szCs w:val="18"/>
          <w:lang w:val="en" w:eastAsia="en-GB"/>
        </w:rPr>
      </w:pPr>
    </w:p>
    <w:p w14:paraId="379B5933" w14:textId="77777777" w:rsidR="000A5427" w:rsidRDefault="000A5427" w:rsidP="000A5427">
      <w:pPr>
        <w:widowControl/>
        <w:spacing w:before="120" w:after="120"/>
        <w:rPr>
          <w:rFonts w:cs="Arial"/>
          <w:b/>
          <w:sz w:val="20"/>
          <w:szCs w:val="18"/>
          <w:lang w:val="en" w:eastAsia="en-GB"/>
        </w:rPr>
      </w:pPr>
    </w:p>
    <w:p w14:paraId="554F2085" w14:textId="77777777" w:rsidR="002B1446" w:rsidRDefault="002B1446">
      <w:pPr>
        <w:widowControl/>
        <w:rPr>
          <w:rFonts w:cs="Arial"/>
          <w:b/>
          <w:sz w:val="20"/>
          <w:szCs w:val="18"/>
          <w:lang w:val="en" w:eastAsia="en-GB"/>
        </w:rPr>
      </w:pPr>
      <w:r>
        <w:rPr>
          <w:rFonts w:cs="Arial"/>
          <w:b/>
          <w:sz w:val="20"/>
          <w:szCs w:val="18"/>
          <w:lang w:val="en" w:eastAsia="en-GB"/>
        </w:rPr>
        <w:br w:type="page"/>
      </w:r>
    </w:p>
    <w:p w14:paraId="5DB9D0D1" w14:textId="0578A480" w:rsidR="000A5427" w:rsidRPr="00513F04" w:rsidRDefault="00513F04" w:rsidP="000A5427">
      <w:pPr>
        <w:widowControl/>
        <w:spacing w:before="120" w:after="120"/>
        <w:rPr>
          <w:rFonts w:cs="Arial"/>
          <w:b/>
          <w:szCs w:val="18"/>
          <w:lang w:val="en" w:eastAsia="en-GB"/>
        </w:rPr>
      </w:pPr>
      <w:r>
        <w:rPr>
          <w:rFonts w:cs="Arial"/>
          <w:b/>
          <w:szCs w:val="18"/>
          <w:lang w:val="en" w:eastAsia="en-GB"/>
        </w:rPr>
        <w:lastRenderedPageBreak/>
        <w:t>EFSA’s R</w:t>
      </w:r>
      <w:r w:rsidR="000A5427" w:rsidRPr="00513F04">
        <w:rPr>
          <w:rFonts w:cs="Arial"/>
          <w:b/>
          <w:szCs w:val="18"/>
          <w:lang w:val="en" w:eastAsia="en-GB"/>
        </w:rPr>
        <w:t xml:space="preserve">eferences </w:t>
      </w:r>
    </w:p>
    <w:p w14:paraId="3C8CD338" w14:textId="5C9EA1C0" w:rsidR="000A5427" w:rsidRPr="00513F04" w:rsidRDefault="000A5427" w:rsidP="000A5427">
      <w:pPr>
        <w:widowControl/>
        <w:spacing w:before="120" w:after="120"/>
        <w:rPr>
          <w:rFonts w:cs="Arial"/>
          <w:sz w:val="20"/>
          <w:szCs w:val="18"/>
          <w:lang w:val="en" w:eastAsia="en-GB"/>
        </w:rPr>
      </w:pPr>
      <w:r w:rsidRPr="00513F04">
        <w:rPr>
          <w:rFonts w:cs="Arial"/>
          <w:szCs w:val="18"/>
          <w:lang w:val="en" w:eastAsia="en-GB"/>
        </w:rPr>
        <w:t>1)</w:t>
      </w:r>
      <w:r w:rsidRPr="00513F04">
        <w:rPr>
          <w:rFonts w:cs="Arial"/>
          <w:sz w:val="24"/>
          <w:szCs w:val="18"/>
          <w:lang w:val="en" w:eastAsia="en-GB"/>
        </w:rPr>
        <w:t xml:space="preserve"> </w:t>
      </w:r>
      <w:r w:rsidRPr="00513F04">
        <w:rPr>
          <w:rFonts w:cs="Arial"/>
          <w:szCs w:val="18"/>
          <w:lang w:val="en" w:eastAsia="en-GB"/>
        </w:rPr>
        <w:t xml:space="preserve">Kleiner, J. Rapid response to: </w:t>
      </w:r>
      <w:r w:rsidRPr="00513F04">
        <w:rPr>
          <w:rFonts w:cs="Arial"/>
          <w:i/>
          <w:szCs w:val="18"/>
          <w:lang w:val="en" w:eastAsia="en-GB"/>
        </w:rPr>
        <w:t>How valid is the European Food Safety Authority’s assessment of sports drin</w:t>
      </w:r>
      <w:r w:rsidRPr="00513F04">
        <w:rPr>
          <w:rFonts w:cs="Arial"/>
          <w:szCs w:val="18"/>
          <w:lang w:val="en" w:eastAsia="en-GB"/>
        </w:rPr>
        <w:t xml:space="preserve">k? </w:t>
      </w:r>
      <w:r w:rsidRPr="00513F04">
        <w:rPr>
          <w:rFonts w:cs="Arial"/>
          <w:szCs w:val="18"/>
          <w:lang w:eastAsia="en-GB"/>
        </w:rPr>
        <w:t>BMJ 2012;345:e4753</w:t>
      </w:r>
      <w:r w:rsidR="001D0768" w:rsidRPr="00513F04">
        <w:rPr>
          <w:rFonts w:cs="Arial"/>
          <w:szCs w:val="18"/>
          <w:lang w:eastAsia="en-GB"/>
        </w:rPr>
        <w:t>.</w:t>
      </w:r>
      <w:r w:rsidRPr="00513F04">
        <w:rPr>
          <w:rFonts w:cs="Arial"/>
          <w:szCs w:val="18"/>
          <w:lang w:val="en" w:eastAsia="en-GB"/>
        </w:rPr>
        <w:t xml:space="preserve"> </w:t>
      </w:r>
    </w:p>
    <w:p w14:paraId="018FD766" w14:textId="77777777" w:rsidR="000A5427" w:rsidRPr="00513F04" w:rsidRDefault="000A5427" w:rsidP="000A5427">
      <w:pPr>
        <w:widowControl/>
        <w:spacing w:before="120" w:after="120"/>
        <w:rPr>
          <w:rFonts w:cs="Arial"/>
          <w:szCs w:val="18"/>
          <w:lang w:val="en" w:eastAsia="en-GB"/>
        </w:rPr>
      </w:pPr>
      <w:r w:rsidRPr="00513F04">
        <w:rPr>
          <w:rFonts w:cs="Arial"/>
          <w:szCs w:val="18"/>
          <w:lang w:val="en" w:eastAsia="en-GB"/>
        </w:rPr>
        <w:t>4) SCF (Scientific Committee on Food), 2001. Report on composition and specification of food intended to meet the expenditure of intense muscular effort, especially for sportsmen. SCF/CS/NUT/SPORT/5.</w:t>
      </w:r>
    </w:p>
    <w:p w14:paraId="0647258C" w14:textId="77777777" w:rsidR="000A5427" w:rsidRPr="00513F04" w:rsidRDefault="000A5427" w:rsidP="000A5427">
      <w:pPr>
        <w:widowControl/>
        <w:spacing w:before="120" w:after="120"/>
        <w:rPr>
          <w:rFonts w:cs="Arial"/>
          <w:szCs w:val="18"/>
          <w:lang w:val="en" w:eastAsia="en-GB"/>
        </w:rPr>
      </w:pPr>
      <w:r w:rsidRPr="00513F04">
        <w:rPr>
          <w:rFonts w:cs="Arial"/>
          <w:szCs w:val="18"/>
          <w:lang w:val="en" w:eastAsia="en-GB"/>
        </w:rPr>
        <w:t>5) Sawka MN, Burke LM, Eichner ER, Maughan RJ, Montain SJ and Stachenfeld NS, 2007. American College of Sports Medicine position stand. Exercise and fluid replacement. Medicine and Science in Sports and Exercise, 39, 377-390.</w:t>
      </w:r>
    </w:p>
    <w:p w14:paraId="727815E4" w14:textId="77777777" w:rsidR="000A5427" w:rsidRPr="00513F04" w:rsidRDefault="000A5427" w:rsidP="000A5427">
      <w:pPr>
        <w:widowControl/>
        <w:spacing w:before="120" w:after="120"/>
        <w:rPr>
          <w:rFonts w:cs="Arial"/>
          <w:szCs w:val="18"/>
          <w:lang w:val="en" w:eastAsia="en-GB"/>
        </w:rPr>
      </w:pPr>
      <w:r w:rsidRPr="00513F04">
        <w:rPr>
          <w:rFonts w:cs="Arial"/>
          <w:szCs w:val="18"/>
          <w:lang w:val="en" w:eastAsia="en-GB"/>
        </w:rPr>
        <w:t>6) Rodriguez NR, Di Marco NM and Langley S, 2009. American College of Sports Medicine position stand. Nutrition and athletic performance. Medicine and Science in Sports and Exercise, 41, 709-731.</w:t>
      </w:r>
    </w:p>
    <w:p w14:paraId="03ECD3B6" w14:textId="77777777" w:rsidR="000A5427" w:rsidRPr="00513F04" w:rsidRDefault="000A5427" w:rsidP="000A5427">
      <w:pPr>
        <w:widowControl/>
        <w:spacing w:before="120" w:after="120"/>
        <w:rPr>
          <w:rFonts w:cs="Arial"/>
          <w:szCs w:val="18"/>
          <w:lang w:val="en" w:eastAsia="en-GB"/>
        </w:rPr>
      </w:pPr>
      <w:r w:rsidRPr="00513F04">
        <w:rPr>
          <w:rFonts w:cs="Arial"/>
          <w:szCs w:val="18"/>
          <w:lang w:val="en" w:eastAsia="en-GB"/>
        </w:rPr>
        <w:t xml:space="preserve">7) Temesi J, Johnson NA, Raymond J, Burdon CA, O'Connor HT, 2011. Carbohydrate ingestion during endurance exercise improves performance in adults. Journal of Nutrition, 141, 890-7. </w:t>
      </w:r>
    </w:p>
    <w:p w14:paraId="2470C173" w14:textId="3955595E" w:rsidR="003C4969" w:rsidRPr="00513F04" w:rsidRDefault="000A5427" w:rsidP="001C6492">
      <w:pPr>
        <w:widowControl/>
        <w:spacing w:before="120" w:after="120"/>
        <w:rPr>
          <w:color w:val="FF0000"/>
          <w:sz w:val="24"/>
        </w:rPr>
      </w:pPr>
      <w:r w:rsidRPr="00513F04">
        <w:rPr>
          <w:color w:val="FF0000"/>
          <w:sz w:val="24"/>
        </w:rPr>
        <w:br w:type="page"/>
      </w:r>
    </w:p>
    <w:p w14:paraId="14BA13C0" w14:textId="54ADC0FE" w:rsidR="00456BD5" w:rsidRPr="00456BD5" w:rsidRDefault="003C4969" w:rsidP="00456BD5">
      <w:pPr>
        <w:pStyle w:val="Heading2"/>
        <w:ind w:left="0" w:firstLine="0"/>
      </w:pPr>
      <w:bookmarkStart w:id="214" w:name="_Toc29883131"/>
      <w:bookmarkStart w:id="215" w:name="_Toc41906818"/>
      <w:bookmarkStart w:id="216" w:name="_Toc41907565"/>
      <w:bookmarkStart w:id="217" w:name="_Toc120358596"/>
      <w:bookmarkStart w:id="218" w:name="_Toc175381458"/>
      <w:bookmarkStart w:id="219" w:name="_Toc11735644"/>
      <w:bookmarkStart w:id="220" w:name="_Toc100829786"/>
      <w:bookmarkStart w:id="221" w:name="_Toc103090828"/>
      <w:bookmarkStart w:id="222" w:name="_Toc103197721"/>
      <w:r w:rsidRPr="00932F14">
        <w:lastRenderedPageBreak/>
        <w:t xml:space="preserve">Attachment </w:t>
      </w:r>
      <w:bookmarkEnd w:id="214"/>
      <w:bookmarkEnd w:id="215"/>
      <w:bookmarkEnd w:id="216"/>
      <w:bookmarkEnd w:id="217"/>
      <w:bookmarkEnd w:id="218"/>
      <w:r w:rsidR="00456B54">
        <w:t>A</w:t>
      </w:r>
      <w:bookmarkStart w:id="223" w:name="_Toc120358597"/>
      <w:bookmarkStart w:id="224" w:name="_Toc175381459"/>
      <w:bookmarkEnd w:id="219"/>
      <w:r w:rsidR="00755F02">
        <w:t xml:space="preserve"> –</w:t>
      </w:r>
      <w:bookmarkStart w:id="225" w:name="_Toc120358598"/>
      <w:bookmarkStart w:id="226" w:name="_Toc175381460"/>
      <w:bookmarkEnd w:id="223"/>
      <w:bookmarkEnd w:id="224"/>
      <w:r w:rsidR="005E06C0">
        <w:t xml:space="preserve"> </w:t>
      </w:r>
      <w:r w:rsidR="00456BD5">
        <w:t>Approved</w:t>
      </w:r>
      <w:r w:rsidR="00456BD5" w:rsidRPr="00932F14">
        <w:t xml:space="preserve"> </w:t>
      </w:r>
      <w:r w:rsidR="00456BD5">
        <w:t xml:space="preserve">draft </w:t>
      </w:r>
      <w:r w:rsidR="00456BD5" w:rsidRPr="00932F14">
        <w:t>variation</w:t>
      </w:r>
      <w:r w:rsidR="00456BD5" w:rsidRPr="007F3133">
        <w:t>s</w:t>
      </w:r>
      <w:r w:rsidR="00456BD5" w:rsidRPr="00932F14">
        <w:t xml:space="preserve"> to the</w:t>
      </w:r>
      <w:r w:rsidR="00456BD5" w:rsidRPr="00755F02">
        <w:t xml:space="preserve"> </w:t>
      </w:r>
      <w:r w:rsidR="00456BD5" w:rsidRPr="00795D86">
        <w:rPr>
          <w:i/>
        </w:rPr>
        <w:t>Australia New Zealand Food Standards Code</w:t>
      </w:r>
      <w:bookmarkEnd w:id="220"/>
      <w:bookmarkEnd w:id="221"/>
      <w:bookmarkEnd w:id="222"/>
      <w:r w:rsidR="00456BD5">
        <w:rPr>
          <w:i/>
        </w:rPr>
        <w:t xml:space="preserve"> </w:t>
      </w:r>
    </w:p>
    <w:p w14:paraId="640FC7DB" w14:textId="77777777" w:rsidR="00DB59D2" w:rsidRPr="00C0014E" w:rsidRDefault="00DB59D2" w:rsidP="00DB59D2">
      <w:pPr>
        <w:rPr>
          <w:noProof/>
          <w:sz w:val="20"/>
          <w:lang w:val="en-AU" w:eastAsia="en-AU"/>
        </w:rPr>
      </w:pPr>
      <w:r w:rsidRPr="00C0014E">
        <w:rPr>
          <w:noProof/>
          <w:sz w:val="20"/>
          <w:lang w:eastAsia="en-GB" w:bidi="ar-SA"/>
        </w:rPr>
        <w:drawing>
          <wp:inline distT="0" distB="0" distL="0" distR="0" wp14:anchorId="554230DA" wp14:editId="67590345">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C730F33" w14:textId="77777777" w:rsidR="00DB59D2" w:rsidRPr="006153A1" w:rsidRDefault="00DB59D2" w:rsidP="00DB59D2">
      <w:pPr>
        <w:pBdr>
          <w:bottom w:val="single" w:sz="4" w:space="1" w:color="auto"/>
        </w:pBdr>
        <w:rPr>
          <w:b/>
          <w:bCs/>
        </w:rPr>
      </w:pPr>
    </w:p>
    <w:p w14:paraId="751AEDEB" w14:textId="77777777" w:rsidR="00DB59D2" w:rsidRDefault="00DB59D2" w:rsidP="00DB59D2">
      <w:pPr>
        <w:pBdr>
          <w:bottom w:val="single" w:sz="4" w:space="1" w:color="auto"/>
        </w:pBdr>
        <w:rPr>
          <w:b/>
          <w:sz w:val="20"/>
        </w:rPr>
      </w:pPr>
      <w:r w:rsidRPr="006153A1">
        <w:rPr>
          <w:b/>
          <w:sz w:val="20"/>
        </w:rPr>
        <w:t>Food Standards (</w:t>
      </w:r>
      <w:r w:rsidRPr="00F618DF">
        <w:rPr>
          <w:b/>
          <w:sz w:val="20"/>
        </w:rPr>
        <w:t>Proposal P</w:t>
      </w:r>
      <w:r>
        <w:rPr>
          <w:b/>
          <w:sz w:val="20"/>
        </w:rPr>
        <w:t>1030</w:t>
      </w:r>
      <w:r w:rsidRPr="00F618DF">
        <w:rPr>
          <w:b/>
          <w:sz w:val="20"/>
        </w:rPr>
        <w:t xml:space="preserve"> </w:t>
      </w:r>
      <w:r w:rsidRPr="00A32232">
        <w:rPr>
          <w:b/>
          <w:sz w:val="20"/>
        </w:rPr>
        <w:t xml:space="preserve">– </w:t>
      </w:r>
      <w:r>
        <w:rPr>
          <w:b/>
          <w:sz w:val="20"/>
        </w:rPr>
        <w:t>Composition and Labelling of Electrolyte Drinks)</w:t>
      </w:r>
      <w:r w:rsidRPr="00C0014E">
        <w:rPr>
          <w:b/>
          <w:sz w:val="20"/>
        </w:rPr>
        <w:t xml:space="preserve"> Variation</w:t>
      </w:r>
    </w:p>
    <w:p w14:paraId="25263AC5" w14:textId="77777777" w:rsidR="00DB59D2" w:rsidRPr="00C0014E" w:rsidRDefault="00DB59D2" w:rsidP="00DB59D2">
      <w:pPr>
        <w:pBdr>
          <w:bottom w:val="single" w:sz="4" w:space="1" w:color="auto"/>
        </w:pBdr>
        <w:rPr>
          <w:b/>
          <w:sz w:val="20"/>
        </w:rPr>
      </w:pPr>
    </w:p>
    <w:p w14:paraId="46A96EB5" w14:textId="77777777" w:rsidR="00DB59D2" w:rsidRPr="008F2616" w:rsidRDefault="00DB59D2" w:rsidP="00DB59D2">
      <w:pPr>
        <w:rPr>
          <w:sz w:val="20"/>
        </w:rPr>
      </w:pPr>
    </w:p>
    <w:p w14:paraId="5A6934FD" w14:textId="7EB658D9" w:rsidR="00E67337" w:rsidRPr="008F2616" w:rsidRDefault="00E67337" w:rsidP="00E67337">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1122A834" w14:textId="77777777" w:rsidR="00E67337" w:rsidRPr="008F2616" w:rsidRDefault="00E67337" w:rsidP="00E67337">
      <w:pPr>
        <w:rPr>
          <w:sz w:val="20"/>
        </w:rPr>
      </w:pPr>
    </w:p>
    <w:p w14:paraId="799B81A5" w14:textId="77777777" w:rsidR="00E67337" w:rsidRPr="0007791C" w:rsidRDefault="00E67337" w:rsidP="00E67337">
      <w:pPr>
        <w:rPr>
          <w:color w:val="FF0000"/>
          <w:sz w:val="20"/>
        </w:rPr>
      </w:pPr>
      <w:r w:rsidRPr="008F2616">
        <w:rPr>
          <w:sz w:val="20"/>
        </w:rPr>
        <w:t xml:space="preserve">Dated </w:t>
      </w:r>
      <w:r w:rsidRPr="0007791C">
        <w:rPr>
          <w:color w:val="FF0000"/>
          <w:sz w:val="20"/>
        </w:rPr>
        <w:t xml:space="preserve">[To be completed by </w:t>
      </w:r>
      <w:r>
        <w:rPr>
          <w:color w:val="FF0000"/>
          <w:sz w:val="20"/>
        </w:rPr>
        <w:t>the Delegate</w:t>
      </w:r>
      <w:r w:rsidRPr="0007791C">
        <w:rPr>
          <w:color w:val="FF0000"/>
          <w:sz w:val="20"/>
        </w:rPr>
        <w:t>]</w:t>
      </w:r>
    </w:p>
    <w:p w14:paraId="5DC97DF7" w14:textId="77777777" w:rsidR="00E67337" w:rsidRPr="008F2616" w:rsidRDefault="00E67337" w:rsidP="00E67337">
      <w:pPr>
        <w:rPr>
          <w:sz w:val="20"/>
        </w:rPr>
      </w:pPr>
    </w:p>
    <w:p w14:paraId="15F263A5" w14:textId="77777777" w:rsidR="00E67337" w:rsidRDefault="00E67337" w:rsidP="00E67337">
      <w:pPr>
        <w:rPr>
          <w:sz w:val="20"/>
        </w:rPr>
      </w:pPr>
    </w:p>
    <w:p w14:paraId="0EE56E89" w14:textId="77777777" w:rsidR="00E67337" w:rsidRDefault="00E67337" w:rsidP="00E67337">
      <w:pPr>
        <w:rPr>
          <w:sz w:val="20"/>
        </w:rPr>
      </w:pPr>
    </w:p>
    <w:p w14:paraId="12CE3D16" w14:textId="77777777" w:rsidR="00E67337" w:rsidRPr="008F2616" w:rsidRDefault="00E67337" w:rsidP="00E67337">
      <w:pPr>
        <w:rPr>
          <w:sz w:val="20"/>
        </w:rPr>
      </w:pPr>
    </w:p>
    <w:p w14:paraId="0D0A3B21" w14:textId="77777777" w:rsidR="00E67337" w:rsidRPr="008F2616" w:rsidRDefault="00E67337" w:rsidP="00E67337">
      <w:pPr>
        <w:rPr>
          <w:sz w:val="20"/>
        </w:rPr>
      </w:pPr>
    </w:p>
    <w:p w14:paraId="5C8B1510" w14:textId="77777777" w:rsidR="00E67337" w:rsidRPr="0007791C" w:rsidRDefault="00E67337" w:rsidP="00E67337">
      <w:pPr>
        <w:rPr>
          <w:color w:val="FF0000"/>
          <w:sz w:val="20"/>
        </w:rPr>
      </w:pPr>
      <w:r w:rsidRPr="0007791C">
        <w:rPr>
          <w:color w:val="FF0000"/>
          <w:sz w:val="20"/>
        </w:rPr>
        <w:t>[To be signed by Delegate]</w:t>
      </w:r>
    </w:p>
    <w:p w14:paraId="5EB3E9DE" w14:textId="77777777" w:rsidR="00E67337" w:rsidRPr="008F2616" w:rsidRDefault="00E67337" w:rsidP="00E67337">
      <w:pPr>
        <w:rPr>
          <w:sz w:val="20"/>
        </w:rPr>
      </w:pPr>
      <w:r w:rsidRPr="008F2616">
        <w:rPr>
          <w:sz w:val="20"/>
        </w:rPr>
        <w:t>Delegate of the Board of Food Standards Australia New Zealand</w:t>
      </w:r>
    </w:p>
    <w:p w14:paraId="371FC86F" w14:textId="77777777" w:rsidR="00E67337" w:rsidRDefault="00E67337" w:rsidP="00E67337">
      <w:pPr>
        <w:rPr>
          <w:sz w:val="20"/>
        </w:rPr>
      </w:pPr>
    </w:p>
    <w:p w14:paraId="59591B8C" w14:textId="77777777" w:rsidR="00E67337" w:rsidRDefault="00E67337" w:rsidP="00E67337">
      <w:pPr>
        <w:rPr>
          <w:sz w:val="20"/>
        </w:rPr>
      </w:pPr>
    </w:p>
    <w:p w14:paraId="4A829FCD" w14:textId="77777777" w:rsidR="00E67337" w:rsidRDefault="00E67337" w:rsidP="00E67337">
      <w:pPr>
        <w:rPr>
          <w:sz w:val="20"/>
        </w:rPr>
      </w:pPr>
    </w:p>
    <w:p w14:paraId="1039626D" w14:textId="77777777" w:rsidR="00E67337" w:rsidRDefault="00E67337" w:rsidP="00E67337">
      <w:pPr>
        <w:rPr>
          <w:sz w:val="20"/>
        </w:rPr>
      </w:pPr>
    </w:p>
    <w:p w14:paraId="0481B91B" w14:textId="77777777" w:rsidR="00E67337" w:rsidRDefault="00E67337" w:rsidP="00E67337">
      <w:pPr>
        <w:rPr>
          <w:sz w:val="20"/>
        </w:rPr>
      </w:pPr>
    </w:p>
    <w:p w14:paraId="7FA6FB8C" w14:textId="77777777" w:rsidR="00E67337" w:rsidRPr="00835019" w:rsidRDefault="00E67337" w:rsidP="00E67337">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Note:</w:t>
      </w:r>
    </w:p>
    <w:p w14:paraId="440D39A6" w14:textId="77777777" w:rsidR="00E67337" w:rsidRPr="00360C8F" w:rsidRDefault="00E67337" w:rsidP="00E67337">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4A695EA9" w14:textId="77777777" w:rsidR="00E67337" w:rsidRDefault="00E67337" w:rsidP="00E67337">
      <w:pPr>
        <w:rPr>
          <w:sz w:val="20"/>
        </w:rPr>
      </w:pPr>
    </w:p>
    <w:p w14:paraId="47614C91" w14:textId="77777777" w:rsidR="00E67337" w:rsidRDefault="00E67337" w:rsidP="00E67337">
      <w:pPr>
        <w:widowControl/>
        <w:rPr>
          <w:sz w:val="20"/>
        </w:rPr>
      </w:pPr>
      <w:r>
        <w:rPr>
          <w:sz w:val="20"/>
        </w:rPr>
        <w:br w:type="page"/>
      </w:r>
    </w:p>
    <w:p w14:paraId="7AC321FA" w14:textId="77777777" w:rsidR="00E67337" w:rsidRPr="005F585D" w:rsidRDefault="00E67337" w:rsidP="00E67337">
      <w:pPr>
        <w:pStyle w:val="FSCDraftingitemheading"/>
      </w:pPr>
      <w:r w:rsidRPr="00D433B1">
        <w:lastRenderedPageBreak/>
        <w:t>1</w:t>
      </w:r>
      <w:r w:rsidRPr="00D433B1">
        <w:tab/>
        <w:t>Name</w:t>
      </w:r>
    </w:p>
    <w:p w14:paraId="2AFB62B7" w14:textId="77777777" w:rsidR="00E67337" w:rsidRPr="00F618DF" w:rsidRDefault="00E67337" w:rsidP="00E67337">
      <w:pPr>
        <w:pStyle w:val="FSCDraftingitem"/>
      </w:pPr>
      <w:r w:rsidRPr="00DB170D">
        <w:t xml:space="preserve">This instrument is the </w:t>
      </w:r>
      <w:r w:rsidRPr="00792F7C">
        <w:rPr>
          <w:i/>
        </w:rPr>
        <w:t>Food Standards (</w:t>
      </w:r>
      <w:r w:rsidRPr="0007791C">
        <w:rPr>
          <w:i/>
        </w:rPr>
        <w:t>Proposal P10</w:t>
      </w:r>
      <w:r>
        <w:rPr>
          <w:i/>
        </w:rPr>
        <w:t>3</w:t>
      </w:r>
      <w:r w:rsidRPr="0007791C">
        <w:rPr>
          <w:i/>
        </w:rPr>
        <w:t xml:space="preserve">0 – Composition and </w:t>
      </w:r>
      <w:r>
        <w:rPr>
          <w:i/>
        </w:rPr>
        <w:t>L</w:t>
      </w:r>
      <w:r w:rsidRPr="0007791C">
        <w:rPr>
          <w:i/>
        </w:rPr>
        <w:t xml:space="preserve">abelling of </w:t>
      </w:r>
      <w:r>
        <w:rPr>
          <w:i/>
        </w:rPr>
        <w:t>E</w:t>
      </w:r>
      <w:r w:rsidRPr="0007791C">
        <w:rPr>
          <w:i/>
        </w:rPr>
        <w:t xml:space="preserve">lectrolyte </w:t>
      </w:r>
      <w:r>
        <w:rPr>
          <w:i/>
        </w:rPr>
        <w:t>D</w:t>
      </w:r>
      <w:r w:rsidRPr="0007791C">
        <w:rPr>
          <w:i/>
        </w:rPr>
        <w:t>rinks</w:t>
      </w:r>
      <w:r w:rsidRPr="00792F7C">
        <w:rPr>
          <w:i/>
        </w:rPr>
        <w:t>) Variation</w:t>
      </w:r>
      <w:r w:rsidRPr="00F618DF">
        <w:t>.</w:t>
      </w:r>
    </w:p>
    <w:p w14:paraId="0906D9BB" w14:textId="77777777" w:rsidR="00E67337" w:rsidRPr="0007791C" w:rsidRDefault="00E67337" w:rsidP="00E67337">
      <w:pPr>
        <w:pStyle w:val="FSCDraftingitemheading"/>
      </w:pPr>
      <w:r w:rsidRPr="00D433B1">
        <w:t>2</w:t>
      </w:r>
      <w:r w:rsidRPr="00D433B1">
        <w:tab/>
        <w:t xml:space="preserve">Variation </w:t>
      </w:r>
      <w:r w:rsidRPr="0007791C">
        <w:t xml:space="preserve">to </w:t>
      </w:r>
      <w:r>
        <w:t>S</w:t>
      </w:r>
      <w:r w:rsidRPr="0007791C">
        <w:t xml:space="preserve">tandards in the </w:t>
      </w:r>
      <w:r w:rsidRPr="0007791C">
        <w:rPr>
          <w:i/>
        </w:rPr>
        <w:t>Australia New Zealand Food Standards Code</w:t>
      </w:r>
    </w:p>
    <w:p w14:paraId="66DB86D7" w14:textId="77777777" w:rsidR="00E67337" w:rsidRDefault="00E67337" w:rsidP="00E67337">
      <w:pPr>
        <w:pStyle w:val="FSCDraftingitem"/>
      </w:pPr>
      <w:r w:rsidRPr="0007791C">
        <w:t xml:space="preserve">The Schedule varies Standards in the </w:t>
      </w:r>
      <w:r w:rsidRPr="00792F7C">
        <w:rPr>
          <w:i/>
        </w:rPr>
        <w:t>Australia New Zealand Food Standards Code</w:t>
      </w:r>
      <w:r>
        <w:t>.</w:t>
      </w:r>
    </w:p>
    <w:p w14:paraId="0ED0D0E2" w14:textId="77777777" w:rsidR="00E67337" w:rsidRPr="00D433B1" w:rsidRDefault="00E67337" w:rsidP="00E67337">
      <w:pPr>
        <w:pStyle w:val="FSCDraftingitemheading"/>
      </w:pPr>
      <w:r w:rsidRPr="00D433B1">
        <w:t>3</w:t>
      </w:r>
      <w:r w:rsidRPr="00D433B1">
        <w:tab/>
        <w:t>Commencement</w:t>
      </w:r>
    </w:p>
    <w:p w14:paraId="7BEA1B5B" w14:textId="77777777" w:rsidR="00E67337" w:rsidRDefault="00E67337" w:rsidP="00E67337">
      <w:pPr>
        <w:pStyle w:val="FSCDraftingitem"/>
      </w:pPr>
      <w:r>
        <w:t>The variation commenc</w:t>
      </w:r>
      <w:r w:rsidRPr="000055C4">
        <w:t>e</w:t>
      </w:r>
      <w:r>
        <w:t>s</w:t>
      </w:r>
      <w:r w:rsidRPr="000055C4">
        <w:t xml:space="preserve"> on</w:t>
      </w:r>
      <w:r>
        <w:t xml:space="preserve"> the date of gazettal.</w:t>
      </w:r>
    </w:p>
    <w:p w14:paraId="5F28672C" w14:textId="77777777" w:rsidR="00E67337" w:rsidRPr="00A63AA5" w:rsidRDefault="00E67337" w:rsidP="00E67337">
      <w:pPr>
        <w:pStyle w:val="FSCDraftingitemheading"/>
      </w:pPr>
      <w:r w:rsidRPr="00A63AA5">
        <w:t>4</w:t>
      </w:r>
      <w:r w:rsidRPr="00A63AA5">
        <w:tab/>
        <w:t>Effect of the variations made by this instrument</w:t>
      </w:r>
    </w:p>
    <w:p w14:paraId="2C0AD93A" w14:textId="77777777" w:rsidR="00E67337" w:rsidRPr="00A63AA5" w:rsidRDefault="00E67337" w:rsidP="00E67337">
      <w:pPr>
        <w:spacing w:before="120" w:after="120"/>
        <w:ind w:left="851" w:hanging="851"/>
        <w:rPr>
          <w:iCs/>
          <w:sz w:val="20"/>
          <w:lang w:eastAsia="en-AU"/>
        </w:rPr>
      </w:pPr>
      <w:r w:rsidRPr="00A63AA5">
        <w:rPr>
          <w:iCs/>
          <w:sz w:val="20"/>
          <w:lang w:eastAsia="en-AU"/>
        </w:rPr>
        <w:t>(1)</w:t>
      </w:r>
      <w:r w:rsidRPr="00A63AA5">
        <w:rPr>
          <w:iCs/>
          <w:sz w:val="20"/>
          <w:lang w:eastAsia="en-AU"/>
        </w:rPr>
        <w:tab/>
        <w:t>Section 1.1.1—9 of Standard 1.1.1 does not apply to the variations made by this instrument.</w:t>
      </w:r>
    </w:p>
    <w:p w14:paraId="373C6288" w14:textId="77777777" w:rsidR="00E67337" w:rsidRPr="00A63AA5" w:rsidRDefault="00E67337" w:rsidP="00E67337">
      <w:pPr>
        <w:spacing w:before="120" w:after="120"/>
        <w:ind w:left="851" w:hanging="851"/>
        <w:rPr>
          <w:iCs/>
          <w:sz w:val="20"/>
          <w:lang w:eastAsia="en-AU"/>
        </w:rPr>
      </w:pPr>
      <w:r w:rsidRPr="00A63AA5">
        <w:rPr>
          <w:iCs/>
          <w:sz w:val="20"/>
          <w:lang w:eastAsia="en-AU"/>
        </w:rPr>
        <w:t>(2)</w:t>
      </w:r>
      <w:r w:rsidRPr="00A63AA5">
        <w:rPr>
          <w:iCs/>
          <w:sz w:val="20"/>
          <w:lang w:eastAsia="en-AU"/>
        </w:rPr>
        <w:tab/>
        <w:t>During the transition period, a food product may be sold if the food product complies with one of the following:</w:t>
      </w:r>
    </w:p>
    <w:p w14:paraId="229CDACB" w14:textId="77777777" w:rsidR="00E67337" w:rsidRPr="00A63AA5" w:rsidRDefault="00E67337" w:rsidP="00E67337">
      <w:pPr>
        <w:tabs>
          <w:tab w:val="left" w:pos="1418"/>
        </w:tabs>
        <w:ind w:left="851" w:hanging="1985"/>
        <w:rPr>
          <w:iCs/>
          <w:sz w:val="20"/>
          <w:lang w:eastAsia="en-AU"/>
        </w:rPr>
      </w:pPr>
      <w:r w:rsidRPr="00A63AA5">
        <w:rPr>
          <w:iCs/>
          <w:sz w:val="20"/>
          <w:lang w:eastAsia="en-AU"/>
        </w:rPr>
        <w:tab/>
        <w:t xml:space="preserve">(a) </w:t>
      </w:r>
      <w:r w:rsidRPr="00A63AA5">
        <w:rPr>
          <w:iCs/>
          <w:sz w:val="20"/>
          <w:lang w:eastAsia="en-AU"/>
        </w:rPr>
        <w:tab/>
        <w:t>the Code as in force without the variations made by this instrument; or</w:t>
      </w:r>
    </w:p>
    <w:p w14:paraId="768259FC" w14:textId="77777777" w:rsidR="00E67337" w:rsidRPr="00A63AA5" w:rsidRDefault="00E67337" w:rsidP="00E67337">
      <w:pPr>
        <w:widowControl/>
        <w:tabs>
          <w:tab w:val="left" w:pos="1418"/>
          <w:tab w:val="left" w:pos="1843"/>
        </w:tabs>
        <w:spacing w:before="120" w:after="120"/>
        <w:ind w:left="993" w:hanging="142"/>
        <w:rPr>
          <w:rFonts w:cs="Arial"/>
          <w:iCs/>
          <w:sz w:val="20"/>
          <w:szCs w:val="22"/>
          <w:lang w:eastAsia="en-AU"/>
        </w:rPr>
      </w:pPr>
      <w:r w:rsidRPr="00A63AA5">
        <w:rPr>
          <w:rFonts w:cs="Arial"/>
          <w:iCs/>
          <w:sz w:val="20"/>
          <w:szCs w:val="22"/>
          <w:lang w:eastAsia="en-AU"/>
        </w:rPr>
        <w:t>(b)      the Code as amended by the variations made by this instrument.</w:t>
      </w:r>
    </w:p>
    <w:p w14:paraId="01C31A40" w14:textId="78B27B29" w:rsidR="00E67337" w:rsidRDefault="00E67337" w:rsidP="00E67337">
      <w:pPr>
        <w:widowControl/>
        <w:tabs>
          <w:tab w:val="left" w:pos="1843"/>
        </w:tabs>
        <w:spacing w:before="120" w:after="120"/>
        <w:ind w:left="851" w:hanging="851"/>
        <w:rPr>
          <w:rFonts w:cs="Arial"/>
          <w:iCs/>
          <w:sz w:val="20"/>
          <w:szCs w:val="22"/>
          <w:lang w:eastAsia="en-AU"/>
        </w:rPr>
      </w:pPr>
      <w:r w:rsidRPr="00A63AA5">
        <w:rPr>
          <w:sz w:val="20"/>
        </w:rPr>
        <w:t>(</w:t>
      </w:r>
      <w:r>
        <w:rPr>
          <w:sz w:val="20"/>
        </w:rPr>
        <w:t>3</w:t>
      </w:r>
      <w:r w:rsidRPr="00A63AA5">
        <w:rPr>
          <w:sz w:val="20"/>
        </w:rPr>
        <w:t>)</w:t>
      </w:r>
      <w:r w:rsidRPr="00A63AA5">
        <w:rPr>
          <w:sz w:val="20"/>
        </w:rPr>
        <w:tab/>
      </w:r>
      <w:r w:rsidRPr="00A63AA5">
        <w:rPr>
          <w:rFonts w:cs="Arial"/>
          <w:iCs/>
          <w:sz w:val="20"/>
          <w:szCs w:val="22"/>
          <w:lang w:eastAsia="en-AU"/>
        </w:rPr>
        <w:t>For the purposes of this clause</w:t>
      </w:r>
      <w:r>
        <w:rPr>
          <w:rFonts w:cs="Arial"/>
          <w:b/>
          <w:iCs/>
          <w:sz w:val="20"/>
          <w:szCs w:val="22"/>
          <w:lang w:eastAsia="en-AU"/>
        </w:rPr>
        <w:t xml:space="preserve">, </w:t>
      </w:r>
      <w:r w:rsidRPr="00A63AA5">
        <w:rPr>
          <w:rFonts w:cs="Arial"/>
          <w:b/>
          <w:iCs/>
          <w:sz w:val="20"/>
          <w:szCs w:val="22"/>
          <w:lang w:eastAsia="en-AU"/>
        </w:rPr>
        <w:t>transition period</w:t>
      </w:r>
      <w:r w:rsidRPr="00A63AA5">
        <w:rPr>
          <w:rFonts w:cs="Arial"/>
          <w:iCs/>
          <w:sz w:val="20"/>
          <w:szCs w:val="22"/>
          <w:lang w:eastAsia="en-AU"/>
        </w:rPr>
        <w:t xml:space="preserve"> means the period commencing on the variation’s date of commencement and ending</w:t>
      </w:r>
      <w:r>
        <w:rPr>
          <w:rFonts w:cs="Arial"/>
          <w:iCs/>
          <w:sz w:val="20"/>
          <w:szCs w:val="22"/>
          <w:lang w:eastAsia="en-AU"/>
        </w:rPr>
        <w:t xml:space="preserve"> </w:t>
      </w:r>
      <w:r w:rsidR="005C5017">
        <w:rPr>
          <w:rFonts w:cs="Arial"/>
          <w:iCs/>
          <w:sz w:val="20"/>
          <w:szCs w:val="22"/>
          <w:lang w:eastAsia="en-AU"/>
        </w:rPr>
        <w:t>24 months</w:t>
      </w:r>
      <w:r>
        <w:rPr>
          <w:rFonts w:cs="Arial"/>
          <w:iCs/>
          <w:sz w:val="20"/>
          <w:szCs w:val="22"/>
          <w:lang w:eastAsia="en-AU"/>
        </w:rPr>
        <w:t xml:space="preserve"> </w:t>
      </w:r>
      <w:r w:rsidRPr="00A63AA5">
        <w:rPr>
          <w:rFonts w:cs="Arial"/>
          <w:iCs/>
          <w:sz w:val="20"/>
          <w:szCs w:val="22"/>
          <w:lang w:eastAsia="en-AU"/>
        </w:rPr>
        <w:t>after the date of commencement</w:t>
      </w:r>
      <w:r>
        <w:rPr>
          <w:rFonts w:cs="Arial"/>
          <w:iCs/>
          <w:sz w:val="20"/>
          <w:szCs w:val="22"/>
          <w:lang w:eastAsia="en-AU"/>
        </w:rPr>
        <w:t>.</w:t>
      </w:r>
    </w:p>
    <w:p w14:paraId="34D2CCE9" w14:textId="77777777" w:rsidR="00E67337" w:rsidRPr="00A63AA5" w:rsidRDefault="00E67337" w:rsidP="00E67337">
      <w:pPr>
        <w:widowControl/>
        <w:tabs>
          <w:tab w:val="left" w:pos="1843"/>
        </w:tabs>
        <w:spacing w:before="120" w:after="120"/>
        <w:ind w:left="851" w:hanging="851"/>
        <w:rPr>
          <w:rFonts w:cs="Arial"/>
          <w:iCs/>
          <w:sz w:val="20"/>
          <w:szCs w:val="22"/>
          <w:lang w:eastAsia="en-AU"/>
        </w:rPr>
      </w:pPr>
    </w:p>
    <w:p w14:paraId="160BE150" w14:textId="77777777" w:rsidR="00E67337" w:rsidRPr="00D433B1" w:rsidRDefault="00E67337" w:rsidP="00E67337">
      <w:pPr>
        <w:jc w:val="center"/>
        <w:rPr>
          <w:b/>
          <w:sz w:val="20"/>
        </w:rPr>
      </w:pPr>
      <w:r w:rsidRPr="00D433B1">
        <w:rPr>
          <w:b/>
          <w:sz w:val="20"/>
        </w:rPr>
        <w:t>Schedule</w:t>
      </w:r>
    </w:p>
    <w:p w14:paraId="60CF7C4C" w14:textId="77777777" w:rsidR="00E67337" w:rsidRPr="00006191" w:rsidRDefault="00E67337" w:rsidP="00E67337">
      <w:pPr>
        <w:pStyle w:val="FSCDraftingitem"/>
      </w:pPr>
      <w:r w:rsidRPr="00DA14FC">
        <w:rPr>
          <w:b/>
          <w:lang w:bidi="en-US"/>
        </w:rPr>
        <w:t>[1]</w:t>
      </w:r>
      <w:r w:rsidRPr="00DA14FC">
        <w:rPr>
          <w:b/>
          <w:lang w:bidi="en-US"/>
        </w:rPr>
        <w:tab/>
      </w:r>
      <w:r w:rsidRPr="00006191">
        <w:rPr>
          <w:b/>
          <w:lang w:bidi="en-US"/>
        </w:rPr>
        <w:t>Standard 1.</w:t>
      </w:r>
      <w:r>
        <w:rPr>
          <w:b/>
          <w:lang w:bidi="en-US"/>
        </w:rPr>
        <w:t>1</w:t>
      </w:r>
      <w:r w:rsidRPr="00006191">
        <w:rPr>
          <w:b/>
          <w:lang w:bidi="en-US"/>
        </w:rPr>
        <w:t>.</w:t>
      </w:r>
      <w:r>
        <w:rPr>
          <w:b/>
          <w:lang w:bidi="en-US"/>
        </w:rPr>
        <w:t>2</w:t>
      </w:r>
      <w:r w:rsidRPr="00006191">
        <w:rPr>
          <w:lang w:bidi="en-US"/>
        </w:rPr>
        <w:t xml:space="preserve"> is varied by</w:t>
      </w:r>
      <w:r w:rsidRPr="00006191">
        <w:t xml:space="preserve"> omitting the definition of ‘electrolyte drink’ in subsection 1.1.2—3(2), substituting</w:t>
      </w:r>
    </w:p>
    <w:p w14:paraId="12E05F55" w14:textId="77777777" w:rsidR="00E67337" w:rsidRDefault="00E67337" w:rsidP="00E67337">
      <w:pPr>
        <w:pStyle w:val="FSCtDefn"/>
      </w:pPr>
      <w:r w:rsidRPr="003C5A28">
        <w:rPr>
          <w:b/>
          <w:i/>
        </w:rPr>
        <w:t>electrolyte drink</w:t>
      </w:r>
      <w:r w:rsidRPr="003C5A28">
        <w:t xml:space="preserve"> means</w:t>
      </w:r>
      <w:r>
        <w:t xml:space="preserve"> a drink formulated for the rapid replacement of fluid, carbohydrate and electrolytes during or after 60 minutes or more of sustained strenuous physical activity.</w:t>
      </w:r>
    </w:p>
    <w:p w14:paraId="44B5ECB0" w14:textId="77777777" w:rsidR="00E67337" w:rsidRDefault="00E67337" w:rsidP="00E67337">
      <w:pPr>
        <w:pStyle w:val="FSCDraftingitem"/>
        <w:rPr>
          <w:lang w:bidi="en-US"/>
        </w:rPr>
      </w:pPr>
      <w:r>
        <w:rPr>
          <w:b/>
        </w:rPr>
        <w:t>[2]</w:t>
      </w:r>
      <w:r>
        <w:rPr>
          <w:b/>
        </w:rPr>
        <w:tab/>
      </w:r>
      <w:r w:rsidRPr="00006191">
        <w:rPr>
          <w:b/>
          <w:lang w:bidi="en-US"/>
        </w:rPr>
        <w:t>Standard 1.</w:t>
      </w:r>
      <w:r>
        <w:rPr>
          <w:b/>
          <w:lang w:bidi="en-US"/>
        </w:rPr>
        <w:t>2</w:t>
      </w:r>
      <w:r w:rsidRPr="00006191">
        <w:rPr>
          <w:b/>
          <w:lang w:bidi="en-US"/>
        </w:rPr>
        <w:t>.</w:t>
      </w:r>
      <w:r>
        <w:rPr>
          <w:b/>
          <w:lang w:bidi="en-US"/>
        </w:rPr>
        <w:t>1</w:t>
      </w:r>
      <w:r w:rsidRPr="00006191">
        <w:rPr>
          <w:lang w:bidi="en-US"/>
        </w:rPr>
        <w:t xml:space="preserve"> is varied by</w:t>
      </w:r>
      <w:r>
        <w:rPr>
          <w:lang w:bidi="en-US"/>
        </w:rPr>
        <w:t xml:space="preserve"> omitting paragraph 1.2.1—8(1)(t), substituting</w:t>
      </w:r>
    </w:p>
    <w:p w14:paraId="1245E73E" w14:textId="77777777" w:rsidR="00E67337" w:rsidRDefault="00E67337" w:rsidP="00E67337">
      <w:pPr>
        <w:pStyle w:val="FSCtPara"/>
        <w:tabs>
          <w:tab w:val="clear" w:pos="1701"/>
        </w:tabs>
        <w:ind w:left="1418" w:hanging="567"/>
        <w:rPr>
          <w:color w:val="FF0000"/>
        </w:rPr>
      </w:pPr>
      <w:r w:rsidRPr="00BE716A">
        <w:t>(t)</w:t>
      </w:r>
      <w:r w:rsidRPr="00BE716A">
        <w:tab/>
        <w:t xml:space="preserve">the declarations and other information </w:t>
      </w:r>
      <w:r>
        <w:t xml:space="preserve">required </w:t>
      </w:r>
      <w:r w:rsidRPr="00BE716A">
        <w:t>for electrolyte drinks and for electrolyte drink bases (see Standard 2.6.2);</w:t>
      </w:r>
      <w:r w:rsidRPr="009C5952">
        <w:rPr>
          <w:color w:val="FF0000"/>
        </w:rPr>
        <w:tab/>
      </w:r>
    </w:p>
    <w:p w14:paraId="1EC4FE0E" w14:textId="77777777" w:rsidR="00E67337" w:rsidRDefault="00E67337" w:rsidP="00E67337">
      <w:pPr>
        <w:pStyle w:val="FSCDraftingitem"/>
      </w:pPr>
      <w:r w:rsidRPr="00006191">
        <w:rPr>
          <w:b/>
        </w:rPr>
        <w:t>[</w:t>
      </w:r>
      <w:r>
        <w:rPr>
          <w:b/>
        </w:rPr>
        <w:t>3</w:t>
      </w:r>
      <w:r w:rsidRPr="00006191">
        <w:rPr>
          <w:b/>
        </w:rPr>
        <w:t>]</w:t>
      </w:r>
      <w:r w:rsidRPr="00006191">
        <w:rPr>
          <w:b/>
        </w:rPr>
        <w:tab/>
        <w:t>Standard 2.6.2</w:t>
      </w:r>
      <w:r>
        <w:t xml:space="preserve"> is varied by</w:t>
      </w:r>
    </w:p>
    <w:p w14:paraId="06533256" w14:textId="77777777" w:rsidR="00E67337" w:rsidRDefault="00E67337" w:rsidP="00E67337">
      <w:pPr>
        <w:pStyle w:val="FSCDraftingitem"/>
      </w:pPr>
      <w:r>
        <w:t>[3.1]</w:t>
      </w:r>
      <w:r>
        <w:tab/>
        <w:t xml:space="preserve">inserting after Note 2 to </w:t>
      </w:r>
      <w:r w:rsidRPr="003176A6">
        <w:t>the Standard</w:t>
      </w:r>
    </w:p>
    <w:p w14:paraId="40BEB927" w14:textId="77777777" w:rsidR="00E67337" w:rsidRDefault="00E67337" w:rsidP="00E67337">
      <w:pPr>
        <w:pStyle w:val="FSCh4Div"/>
      </w:pPr>
      <w:r>
        <w:t>Division 1</w:t>
      </w:r>
      <w:r>
        <w:tab/>
        <w:t>Preliminary</w:t>
      </w:r>
    </w:p>
    <w:p w14:paraId="6FD1D193" w14:textId="77777777" w:rsidR="00E67337" w:rsidRDefault="00E67337" w:rsidP="00E67337">
      <w:pPr>
        <w:pStyle w:val="FSCDraftingitem"/>
      </w:pPr>
      <w:r>
        <w:t>[3.2]</w:t>
      </w:r>
      <w:r>
        <w:tab/>
        <w:t>omitting section 2.6.2—2, substituting</w:t>
      </w:r>
    </w:p>
    <w:p w14:paraId="5F61EE62" w14:textId="77777777" w:rsidR="00E67337" w:rsidRPr="00D81385" w:rsidRDefault="00E67337" w:rsidP="00E67337">
      <w:pPr>
        <w:pStyle w:val="FSCh5Section"/>
      </w:pPr>
      <w:r w:rsidRPr="00D81385">
        <w:t>2.6.2—2</w:t>
      </w:r>
      <w:r w:rsidRPr="00D81385">
        <w:tab/>
        <w:t>Definitions</w:t>
      </w:r>
    </w:p>
    <w:p w14:paraId="4B031AB7" w14:textId="77777777" w:rsidR="00E67337" w:rsidRPr="00D81385" w:rsidRDefault="00E67337" w:rsidP="00E67337">
      <w:pPr>
        <w:pStyle w:val="FSCnMain"/>
        <w:tabs>
          <w:tab w:val="clear" w:pos="1701"/>
          <w:tab w:val="left" w:pos="851"/>
        </w:tabs>
      </w:pPr>
      <w:r w:rsidRPr="00D81385">
        <w:rPr>
          <w:b/>
          <w:i/>
        </w:rPr>
        <w:t>Note</w:t>
      </w:r>
      <w:r>
        <w:rPr>
          <w:b/>
          <w:i/>
        </w:rPr>
        <w:t xml:space="preserve"> 1</w:t>
      </w:r>
      <w:r w:rsidRPr="00D81385">
        <w:tab/>
        <w:t>In this Code (see section 1.1.2—</w:t>
      </w:r>
      <w:r>
        <w:t>2</w:t>
      </w:r>
      <w:r w:rsidRPr="00D81385">
        <w:t>):</w:t>
      </w:r>
    </w:p>
    <w:p w14:paraId="5124B4A6" w14:textId="77777777" w:rsidR="00E67337" w:rsidRDefault="00E67337" w:rsidP="00E67337">
      <w:pPr>
        <w:pStyle w:val="FSCnMain"/>
        <w:ind w:left="1701" w:hanging="1701"/>
      </w:pPr>
      <w:r>
        <w:rPr>
          <w:b/>
          <w:i/>
        </w:rPr>
        <w:tab/>
      </w:r>
      <w:r w:rsidRPr="008954D3">
        <w:rPr>
          <w:b/>
          <w:i/>
        </w:rPr>
        <w:t>average quantity</w:t>
      </w:r>
      <w:r w:rsidRPr="008954D3">
        <w:t>,</w:t>
      </w:r>
      <w:r w:rsidRPr="00043854">
        <w:rPr>
          <w:i/>
        </w:rPr>
        <w:t xml:space="preserve"> </w:t>
      </w:r>
      <w:r w:rsidRPr="00043854">
        <w:t>of a substance in a food, means the average, for such foods from that producer or manufacturer, of:</w:t>
      </w:r>
    </w:p>
    <w:p w14:paraId="083319CD" w14:textId="77777777" w:rsidR="00E67337" w:rsidRDefault="00E67337" w:rsidP="00E67337">
      <w:pPr>
        <w:pStyle w:val="FSCnMain"/>
        <w:tabs>
          <w:tab w:val="clear" w:pos="1701"/>
          <w:tab w:val="left" w:pos="1985"/>
        </w:tabs>
        <w:ind w:left="1985" w:hanging="284"/>
      </w:pPr>
      <w:r>
        <w:t>(a)</w:t>
      </w:r>
      <w:r>
        <w:tab/>
        <w:t>where a serving or reference amount is specified—the amount of the substance that such a serving or reference amount contains; or</w:t>
      </w:r>
    </w:p>
    <w:p w14:paraId="2B718A9E" w14:textId="77777777" w:rsidR="00E67337" w:rsidRDefault="00E67337" w:rsidP="00E67337">
      <w:pPr>
        <w:pStyle w:val="FSCnMain"/>
        <w:tabs>
          <w:tab w:val="clear" w:pos="1701"/>
          <w:tab w:val="left" w:pos="1985"/>
          <w:tab w:val="left" w:pos="2268"/>
        </w:tabs>
        <w:ind w:left="3402" w:hanging="1701"/>
      </w:pPr>
      <w:r>
        <w:t>(b)</w:t>
      </w:r>
      <w:r>
        <w:tab/>
        <w:t>otherwise—the proportion of that substance in the food, expressed as a percentage.</w:t>
      </w:r>
    </w:p>
    <w:p w14:paraId="3DDF8B44" w14:textId="77777777" w:rsidR="00E67337" w:rsidRPr="008D2541" w:rsidRDefault="00E67337" w:rsidP="00E67337">
      <w:pPr>
        <w:pStyle w:val="FSCnMain"/>
        <w:tabs>
          <w:tab w:val="clear" w:pos="1701"/>
        </w:tabs>
        <w:ind w:hanging="1701"/>
        <w:rPr>
          <w:sz w:val="12"/>
          <w:szCs w:val="12"/>
        </w:rPr>
      </w:pPr>
      <w:r>
        <w:rPr>
          <w:b/>
          <w:i/>
        </w:rPr>
        <w:t xml:space="preserve">                         </w:t>
      </w:r>
      <w:r w:rsidRPr="008D2541">
        <w:rPr>
          <w:b/>
          <w:i/>
          <w:sz w:val="12"/>
          <w:szCs w:val="12"/>
        </w:rPr>
        <w:t>Note</w:t>
      </w:r>
      <w:r w:rsidRPr="008D2541">
        <w:rPr>
          <w:sz w:val="12"/>
          <w:szCs w:val="12"/>
        </w:rPr>
        <w:t xml:space="preserve"> See also section 1.1.1—6.</w:t>
      </w:r>
    </w:p>
    <w:p w14:paraId="43EE8E90" w14:textId="77777777" w:rsidR="00E67337" w:rsidRPr="004F39FB" w:rsidRDefault="00E67337" w:rsidP="00E67337">
      <w:pPr>
        <w:pStyle w:val="FSCnMain"/>
        <w:ind w:left="1701" w:hanging="1701"/>
        <w:rPr>
          <w:b/>
          <w:i/>
        </w:rPr>
      </w:pPr>
      <w:r>
        <w:rPr>
          <w:b/>
          <w:i/>
        </w:rPr>
        <w:tab/>
      </w:r>
      <w:r w:rsidRPr="004F39FB">
        <w:rPr>
          <w:b/>
          <w:i/>
        </w:rPr>
        <w:t xml:space="preserve">claim </w:t>
      </w:r>
      <w:r w:rsidRPr="004F39FB">
        <w:t>means an express or implied statement, representation, design or information in relation to a food or a property of food which is not mandatory in this Code.</w:t>
      </w:r>
      <w:r w:rsidRPr="004F39FB">
        <w:rPr>
          <w:b/>
          <w:i/>
        </w:rPr>
        <w:t xml:space="preserve"> </w:t>
      </w:r>
    </w:p>
    <w:p w14:paraId="31E00281" w14:textId="77777777" w:rsidR="00E67337" w:rsidRPr="00210099" w:rsidRDefault="00E67337" w:rsidP="00E67337">
      <w:pPr>
        <w:pStyle w:val="FSCnMain"/>
        <w:ind w:left="1701"/>
        <w:rPr>
          <w:b/>
          <w:i/>
        </w:rPr>
      </w:pPr>
      <w:r>
        <w:tab/>
      </w:r>
      <w:r>
        <w:rPr>
          <w:b/>
          <w:i/>
        </w:rPr>
        <w:tab/>
      </w:r>
      <w:r w:rsidRPr="00210099">
        <w:rPr>
          <w:b/>
          <w:bCs/>
          <w:i/>
          <w:iCs/>
        </w:rPr>
        <w:t>claim requiring nutrition information</w:t>
      </w:r>
      <w:r w:rsidRPr="00210099">
        <w:rPr>
          <w:b/>
          <w:i/>
        </w:rPr>
        <w:t xml:space="preserve">: </w:t>
      </w:r>
    </w:p>
    <w:p w14:paraId="79CCE0AF" w14:textId="77777777" w:rsidR="00E67337" w:rsidRPr="00210099" w:rsidRDefault="00E67337" w:rsidP="00E67337">
      <w:pPr>
        <w:pStyle w:val="FSCnMain"/>
        <w:ind w:left="3969"/>
      </w:pPr>
      <w:r w:rsidRPr="00210099">
        <w:t xml:space="preserve">(a) </w:t>
      </w:r>
      <w:r>
        <w:t xml:space="preserve">     </w:t>
      </w:r>
      <w:r w:rsidRPr="00210099">
        <w:t xml:space="preserve">means: </w:t>
      </w:r>
    </w:p>
    <w:p w14:paraId="43D480E7" w14:textId="77777777" w:rsidR="00E67337" w:rsidRPr="00210099" w:rsidRDefault="00E67337" w:rsidP="00E67337">
      <w:pPr>
        <w:pStyle w:val="FSCnMain"/>
        <w:ind w:left="3969" w:hanging="1984"/>
      </w:pPr>
      <w:r>
        <w:t xml:space="preserve">    (i)       </w:t>
      </w:r>
      <w:r w:rsidRPr="00210099">
        <w:t xml:space="preserve">a nutrition content claim; or </w:t>
      </w:r>
    </w:p>
    <w:p w14:paraId="4A61E3FA" w14:textId="77777777" w:rsidR="00E67337" w:rsidRPr="00210099" w:rsidRDefault="00E67337" w:rsidP="00E67337">
      <w:pPr>
        <w:pStyle w:val="FSCnMain"/>
        <w:ind w:left="3969" w:hanging="1984"/>
      </w:pPr>
      <w:r>
        <w:t xml:space="preserve">    </w:t>
      </w:r>
      <w:r w:rsidRPr="00210099">
        <w:t xml:space="preserve">(ii) </w:t>
      </w:r>
      <w:r>
        <w:t xml:space="preserve">     </w:t>
      </w:r>
      <w:r w:rsidRPr="00210099">
        <w:t xml:space="preserve">a health claim; and </w:t>
      </w:r>
    </w:p>
    <w:p w14:paraId="2873C14B" w14:textId="77777777" w:rsidR="00E67337" w:rsidRPr="00210099" w:rsidRDefault="00E67337" w:rsidP="00E67337">
      <w:pPr>
        <w:pStyle w:val="FSCnMain"/>
        <w:ind w:left="3969"/>
      </w:pPr>
      <w:r w:rsidRPr="00210099">
        <w:t xml:space="preserve">(b) </w:t>
      </w:r>
      <w:r>
        <w:t xml:space="preserve">    </w:t>
      </w:r>
      <w:r w:rsidRPr="00210099">
        <w:t xml:space="preserve">does not include: </w:t>
      </w:r>
    </w:p>
    <w:p w14:paraId="7BCB1B0E" w14:textId="77777777" w:rsidR="00E67337" w:rsidRPr="00210099" w:rsidRDefault="00E67337" w:rsidP="00E67337">
      <w:pPr>
        <w:pStyle w:val="FSCnMain"/>
        <w:ind w:left="3969" w:hanging="1984"/>
      </w:pPr>
      <w:r>
        <w:t xml:space="preserve">    </w:t>
      </w:r>
      <w:r w:rsidRPr="00210099">
        <w:t xml:space="preserve">(i) </w:t>
      </w:r>
      <w:r>
        <w:t xml:space="preserve">      </w:t>
      </w:r>
      <w:r w:rsidRPr="00210099">
        <w:t xml:space="preserve">a declaration that is required by an application Act; or </w:t>
      </w:r>
    </w:p>
    <w:p w14:paraId="39D9ECDC" w14:textId="77777777" w:rsidR="00E67337" w:rsidRPr="00210099" w:rsidRDefault="00E67337" w:rsidP="00E67337">
      <w:pPr>
        <w:pStyle w:val="FSCnMain"/>
        <w:ind w:left="3969" w:hanging="1984"/>
      </w:pPr>
      <w:r>
        <w:t xml:space="preserve">    </w:t>
      </w:r>
      <w:r w:rsidRPr="00210099">
        <w:t xml:space="preserve">(ii) </w:t>
      </w:r>
      <w:r>
        <w:t xml:space="preserve">     </w:t>
      </w:r>
      <w:r w:rsidRPr="00210099">
        <w:t xml:space="preserve">an endorsement; or </w:t>
      </w:r>
    </w:p>
    <w:p w14:paraId="786088AA" w14:textId="77777777" w:rsidR="00E67337" w:rsidRPr="00210099" w:rsidRDefault="00E67337" w:rsidP="00E67337">
      <w:pPr>
        <w:pStyle w:val="FSCnMain"/>
        <w:tabs>
          <w:tab w:val="left" w:pos="2268"/>
        </w:tabs>
        <w:ind w:left="3969" w:hanging="1984"/>
        <w:rPr>
          <w:i/>
        </w:rPr>
      </w:pPr>
      <w:r>
        <w:t xml:space="preserve">    </w:t>
      </w:r>
      <w:r w:rsidRPr="00210099">
        <w:t xml:space="preserve">(iii) </w:t>
      </w:r>
      <w:r>
        <w:t xml:space="preserve">    </w:t>
      </w:r>
      <w:r w:rsidRPr="00210099">
        <w:t>a *prescribed beverage gluten free claim.</w:t>
      </w:r>
    </w:p>
    <w:p w14:paraId="2A67CC4F" w14:textId="77777777" w:rsidR="00E67337" w:rsidRPr="00001F54" w:rsidRDefault="00E67337" w:rsidP="00E67337">
      <w:pPr>
        <w:pStyle w:val="FSCnMain"/>
        <w:ind w:left="1701"/>
      </w:pPr>
      <w:r>
        <w:rPr>
          <w:b/>
          <w:i/>
        </w:rPr>
        <w:lastRenderedPageBreak/>
        <w:tab/>
      </w:r>
      <w:r w:rsidRPr="00001F54">
        <w:rPr>
          <w:b/>
          <w:i/>
        </w:rPr>
        <w:t xml:space="preserve">health claim </w:t>
      </w:r>
      <w:r w:rsidRPr="00001F54">
        <w:t xml:space="preserve">means a claim which states, suggests or implies that a food or a property of food has, or may have, a health effect. </w:t>
      </w:r>
    </w:p>
    <w:p w14:paraId="6B15B190" w14:textId="77777777" w:rsidR="00E67337" w:rsidRPr="00AD3E8F" w:rsidRDefault="00E67337" w:rsidP="00E67337">
      <w:pPr>
        <w:pStyle w:val="FSCnPara"/>
        <w:rPr>
          <w:sz w:val="12"/>
          <w:szCs w:val="12"/>
        </w:rPr>
      </w:pPr>
      <w:r>
        <w:rPr>
          <w:b/>
          <w:i/>
        </w:rPr>
        <w:t xml:space="preserve">                                      </w:t>
      </w:r>
      <w:r w:rsidRPr="00AD3E8F">
        <w:rPr>
          <w:b/>
          <w:i/>
          <w:sz w:val="12"/>
          <w:szCs w:val="12"/>
        </w:rPr>
        <w:t>Note</w:t>
      </w:r>
      <w:r w:rsidRPr="00AD3E8F">
        <w:rPr>
          <w:sz w:val="12"/>
          <w:szCs w:val="12"/>
        </w:rPr>
        <w:t xml:space="preserve"> See also subsection 2.10.2—8(3).</w:t>
      </w:r>
    </w:p>
    <w:p w14:paraId="5FD9010A" w14:textId="77777777" w:rsidR="00E67337" w:rsidRPr="00B573FB" w:rsidRDefault="00E67337" w:rsidP="00E67337">
      <w:pPr>
        <w:pStyle w:val="FSCnMain"/>
        <w:ind w:hanging="566"/>
        <w:rPr>
          <w:b/>
          <w:i/>
        </w:rPr>
      </w:pPr>
      <w:r w:rsidRPr="00B573FB">
        <w:rPr>
          <w:b/>
          <w:i/>
        </w:rPr>
        <w:t>package:</w:t>
      </w:r>
    </w:p>
    <w:p w14:paraId="2309C84F" w14:textId="77777777" w:rsidR="00E67337" w:rsidRPr="0064695E" w:rsidRDefault="00E67337" w:rsidP="00E67337">
      <w:pPr>
        <w:pStyle w:val="FSCnMain"/>
        <w:ind w:left="2127" w:hanging="708"/>
      </w:pPr>
      <w:r>
        <w:tab/>
      </w:r>
      <w:r w:rsidRPr="0064695E">
        <w:t xml:space="preserve">(a) </w:t>
      </w:r>
      <w:r>
        <w:t xml:space="preserve">    </w:t>
      </w:r>
      <w:r w:rsidRPr="0064695E">
        <w:t>means any container or wrapper in or by which food for sale is wholly or partly encased, covered, enclosed, contained or packaged; and</w:t>
      </w:r>
    </w:p>
    <w:p w14:paraId="495632D9" w14:textId="77777777" w:rsidR="00E67337" w:rsidRPr="0064695E" w:rsidRDefault="00E67337" w:rsidP="00E67337">
      <w:pPr>
        <w:pStyle w:val="FSCnMain"/>
        <w:ind w:left="2127" w:hanging="850"/>
      </w:pPr>
      <w:r>
        <w:tab/>
      </w:r>
      <w:r w:rsidRPr="0064695E">
        <w:t xml:space="preserve">(b) </w:t>
      </w:r>
      <w:r>
        <w:t xml:space="preserve">    </w:t>
      </w:r>
      <w:r w:rsidRPr="0064695E">
        <w:t>if food is carried or sold or intended to be carried and sold in more than one package—includes each package; and</w:t>
      </w:r>
    </w:p>
    <w:p w14:paraId="0AE998DC" w14:textId="77777777" w:rsidR="00E67337" w:rsidRPr="0064695E" w:rsidRDefault="00E67337" w:rsidP="00E67337">
      <w:pPr>
        <w:pStyle w:val="FSCnMain"/>
        <w:ind w:hanging="566"/>
      </w:pPr>
      <w:r w:rsidRPr="0064695E">
        <w:t xml:space="preserve">(c) </w:t>
      </w:r>
      <w:r>
        <w:t xml:space="preserve">    </w:t>
      </w:r>
      <w:r w:rsidRPr="0064695E">
        <w:t>does not include:</w:t>
      </w:r>
    </w:p>
    <w:p w14:paraId="3E99E439" w14:textId="77777777" w:rsidR="00E67337" w:rsidRPr="0064695E" w:rsidRDefault="00E67337" w:rsidP="00E67337">
      <w:pPr>
        <w:pStyle w:val="FSCnMain"/>
        <w:ind w:left="2410" w:hanging="283"/>
      </w:pPr>
      <w:r w:rsidRPr="0064695E">
        <w:t xml:space="preserve">(i) </w:t>
      </w:r>
      <w:r>
        <w:t xml:space="preserve">     </w:t>
      </w:r>
      <w:r w:rsidRPr="0064695E">
        <w:t>a *bulk cargo container; or</w:t>
      </w:r>
    </w:p>
    <w:p w14:paraId="30D5304E" w14:textId="77777777" w:rsidR="00E67337" w:rsidRPr="0064695E" w:rsidRDefault="00E67337" w:rsidP="00E67337">
      <w:pPr>
        <w:pStyle w:val="FSCnMain"/>
        <w:ind w:left="2410" w:hanging="283"/>
      </w:pPr>
      <w:r w:rsidRPr="0064695E">
        <w:t xml:space="preserve">(ii) </w:t>
      </w:r>
      <w:r>
        <w:t xml:space="preserve">    </w:t>
      </w:r>
      <w:r w:rsidRPr="0064695E">
        <w:t>a pallet overwrap; or</w:t>
      </w:r>
    </w:p>
    <w:p w14:paraId="7DAAF2C1" w14:textId="77777777" w:rsidR="00E67337" w:rsidRPr="0064695E" w:rsidRDefault="00E67337" w:rsidP="00E67337">
      <w:pPr>
        <w:pStyle w:val="FSCnMain"/>
        <w:ind w:left="2410" w:hanging="283"/>
      </w:pPr>
      <w:r w:rsidRPr="0064695E">
        <w:t xml:space="preserve">(iii) </w:t>
      </w:r>
      <w:r>
        <w:t xml:space="preserve">   </w:t>
      </w:r>
      <w:r w:rsidRPr="0064695E">
        <w:t>a crate and packages which do not obscure labels on the food; or</w:t>
      </w:r>
    </w:p>
    <w:p w14:paraId="222FCED3" w14:textId="77777777" w:rsidR="00E67337" w:rsidRPr="0064695E" w:rsidRDefault="00E67337" w:rsidP="00E67337">
      <w:pPr>
        <w:pStyle w:val="FSCnMain"/>
        <w:ind w:left="2410" w:hanging="283"/>
      </w:pPr>
      <w:r w:rsidRPr="0064695E">
        <w:t xml:space="preserve">(iv) </w:t>
      </w:r>
      <w:r>
        <w:t xml:space="preserve">   </w:t>
      </w:r>
      <w:r w:rsidRPr="0064695E">
        <w:t>a transportation vehicle; or</w:t>
      </w:r>
    </w:p>
    <w:p w14:paraId="1F1E401C" w14:textId="77777777" w:rsidR="00E67337" w:rsidRPr="0064695E" w:rsidRDefault="00E67337" w:rsidP="00E67337">
      <w:pPr>
        <w:pStyle w:val="FSCnMain"/>
        <w:ind w:left="2410" w:hanging="283"/>
      </w:pPr>
      <w:r w:rsidRPr="0064695E">
        <w:t xml:space="preserve">(v) </w:t>
      </w:r>
      <w:r>
        <w:t xml:space="preserve">    </w:t>
      </w:r>
      <w:r w:rsidRPr="0064695E">
        <w:t>a vending machine; or</w:t>
      </w:r>
    </w:p>
    <w:p w14:paraId="668E2246" w14:textId="77777777" w:rsidR="00E67337" w:rsidRPr="0064695E" w:rsidRDefault="00E67337" w:rsidP="00E67337">
      <w:pPr>
        <w:pStyle w:val="FSCnMain"/>
        <w:ind w:left="2410" w:hanging="283"/>
      </w:pPr>
      <w:r w:rsidRPr="0064695E">
        <w:t xml:space="preserve">(vi) </w:t>
      </w:r>
      <w:r>
        <w:t xml:space="preserve">   </w:t>
      </w:r>
      <w:r w:rsidRPr="0064695E">
        <w:t>a hamper; or</w:t>
      </w:r>
    </w:p>
    <w:p w14:paraId="75C5C8CB" w14:textId="77777777" w:rsidR="00E67337" w:rsidRPr="0064695E" w:rsidRDefault="00E67337" w:rsidP="00E67337">
      <w:pPr>
        <w:pStyle w:val="FSCnMain"/>
        <w:ind w:left="2552" w:hanging="567"/>
      </w:pPr>
      <w:r>
        <w:t xml:space="preserve">   </w:t>
      </w:r>
      <w:r w:rsidRPr="0064695E">
        <w:t xml:space="preserve">(vii) </w:t>
      </w:r>
      <w:r>
        <w:t xml:space="preserve">   </w:t>
      </w:r>
      <w:r w:rsidRPr="0064695E">
        <w:t>a container or wrapper (including a covered plate, cup, tray or other food container) in</w:t>
      </w:r>
      <w:r>
        <w:t xml:space="preserve"> </w:t>
      </w:r>
      <w:r w:rsidRPr="0064695E">
        <w:t>which food is served in a prison, hospital or *medical institution; or</w:t>
      </w:r>
    </w:p>
    <w:p w14:paraId="3FB50D21" w14:textId="77777777" w:rsidR="00E67337" w:rsidRPr="0064695E" w:rsidRDefault="00E67337" w:rsidP="00E67337">
      <w:pPr>
        <w:pStyle w:val="FSCnMain"/>
        <w:tabs>
          <w:tab w:val="clear" w:pos="1701"/>
          <w:tab w:val="left" w:pos="851"/>
        </w:tabs>
        <w:ind w:left="2552" w:hanging="567"/>
      </w:pPr>
      <w:r>
        <w:t xml:space="preserve">   </w:t>
      </w:r>
      <w:r w:rsidRPr="0064695E">
        <w:t xml:space="preserve">(viii) </w:t>
      </w:r>
      <w:r>
        <w:t xml:space="preserve">  </w:t>
      </w:r>
      <w:r w:rsidRPr="0064695E">
        <w:t>for Standard 2.9.5—a covered plate, cup, tray or other food container in which food for special medical purposes is served by a *responsible institution to a patient or resident.</w:t>
      </w:r>
    </w:p>
    <w:p w14:paraId="1FC58EB8" w14:textId="77777777" w:rsidR="00E67337" w:rsidRPr="001E7FAE" w:rsidRDefault="00E67337" w:rsidP="00E67337">
      <w:pPr>
        <w:pStyle w:val="FSCnMain"/>
        <w:ind w:left="1701" w:hanging="1701"/>
      </w:pPr>
      <w:r>
        <w:rPr>
          <w:b/>
          <w:i/>
        </w:rPr>
        <w:tab/>
      </w:r>
      <w:r w:rsidRPr="001E7FAE">
        <w:rPr>
          <w:b/>
          <w:i/>
        </w:rPr>
        <w:t>prescribed name</w:t>
      </w:r>
      <w:r w:rsidRPr="001E7FAE">
        <w:t xml:space="preserve">, of a particular food, means a name declared by a provision of this Code to be the prescribed name of the food. </w:t>
      </w:r>
    </w:p>
    <w:p w14:paraId="7900F99D" w14:textId="77777777" w:rsidR="00E67337" w:rsidRPr="00CF2BB3" w:rsidRDefault="00E67337" w:rsidP="00E67337">
      <w:pPr>
        <w:pStyle w:val="FSCnMain"/>
        <w:ind w:hanging="566"/>
        <w:rPr>
          <w:b/>
          <w:i/>
          <w:sz w:val="12"/>
          <w:szCs w:val="12"/>
        </w:rPr>
      </w:pPr>
      <w:r w:rsidRPr="00CF2BB3">
        <w:rPr>
          <w:b/>
          <w:bCs/>
          <w:i/>
          <w:iCs/>
          <w:color w:val="000000"/>
          <w:sz w:val="12"/>
          <w:szCs w:val="12"/>
          <w:lang w:eastAsia="en-GB"/>
        </w:rPr>
        <w:t>Note</w:t>
      </w:r>
      <w:r w:rsidRPr="00CF2BB3">
        <w:rPr>
          <w:b/>
          <w:bCs/>
          <w:i/>
          <w:iCs/>
          <w:color w:val="000000"/>
          <w:sz w:val="12"/>
          <w:szCs w:val="12"/>
          <w:lang w:eastAsia="en-GB"/>
        </w:rPr>
        <w:tab/>
      </w:r>
      <w:r w:rsidRPr="00CF2BB3">
        <w:rPr>
          <w:color w:val="000000"/>
          <w:sz w:val="12"/>
          <w:szCs w:val="12"/>
          <w:lang w:eastAsia="en-GB"/>
        </w:rPr>
        <w:t>Under the labelling provisions in Standard 1.2.1 and section 1.2.2—2, if a food has a prescribed name, it must be used in the labelling of the food.</w:t>
      </w:r>
    </w:p>
    <w:p w14:paraId="3574F4E5" w14:textId="77777777" w:rsidR="00E67337" w:rsidRDefault="00E67337" w:rsidP="00E67337">
      <w:pPr>
        <w:pStyle w:val="FSCnMain"/>
        <w:ind w:hanging="566"/>
        <w:rPr>
          <w:b/>
          <w:i/>
        </w:rPr>
      </w:pPr>
      <w:r w:rsidRPr="001630A8">
        <w:rPr>
          <w:b/>
          <w:i/>
        </w:rPr>
        <w:t>property of food</w:t>
      </w:r>
      <w:r w:rsidRPr="001630A8">
        <w:t xml:space="preserve"> means a *component, ingredient, constituent or other feature of food.</w:t>
      </w:r>
    </w:p>
    <w:p w14:paraId="62E3CE94" w14:textId="77777777" w:rsidR="00E67337" w:rsidRDefault="00E67337" w:rsidP="00E67337">
      <w:pPr>
        <w:pStyle w:val="FSCnMain"/>
        <w:ind w:hanging="566"/>
        <w:rPr>
          <w:b/>
          <w:i/>
        </w:rPr>
      </w:pPr>
      <w:r w:rsidRPr="004A6F4B">
        <w:rPr>
          <w:b/>
          <w:i/>
        </w:rPr>
        <w:t xml:space="preserve">small package </w:t>
      </w:r>
      <w:r w:rsidRPr="004A6F4B">
        <w:t>means a package with a surface area of less than 100 cm</w:t>
      </w:r>
      <w:r w:rsidRPr="00A41AC1">
        <w:rPr>
          <w:vertAlign w:val="superscript"/>
        </w:rPr>
        <w:t>2</w:t>
      </w:r>
      <w:r w:rsidRPr="004A6F4B">
        <w:t>.</w:t>
      </w:r>
    </w:p>
    <w:p w14:paraId="5878F85A" w14:textId="77777777" w:rsidR="00E67337" w:rsidRDefault="00E67337" w:rsidP="00E67337">
      <w:pPr>
        <w:pStyle w:val="FSCnMain"/>
        <w:ind w:hanging="566"/>
      </w:pPr>
      <w:r w:rsidRPr="00E62D32">
        <w:rPr>
          <w:b/>
          <w:i/>
        </w:rPr>
        <w:t>sugars</w:t>
      </w:r>
      <w:r>
        <w:t>:</w:t>
      </w:r>
    </w:p>
    <w:p w14:paraId="33DC86D0" w14:textId="77777777" w:rsidR="00E67337" w:rsidRDefault="00E67337" w:rsidP="00E67337">
      <w:pPr>
        <w:pStyle w:val="FSCnMain"/>
        <w:ind w:left="2127" w:hanging="425"/>
      </w:pPr>
      <w:r>
        <w:t>(a)     in Standard 1.2.7, Standard 1.2.8 and Schedule 4 (except where it appears with an asterisk as ‘sugars*’)—means monosaccharides and disaccharides; and</w:t>
      </w:r>
    </w:p>
    <w:p w14:paraId="2E2CA58B" w14:textId="77777777" w:rsidR="00E67337" w:rsidRDefault="00E67337" w:rsidP="00E67337">
      <w:pPr>
        <w:pStyle w:val="FSCnMain"/>
        <w:ind w:hanging="566"/>
      </w:pPr>
      <w:r>
        <w:t>(b)     otherwise—means any of the following products, derived from any source:</w:t>
      </w:r>
    </w:p>
    <w:p w14:paraId="01D78005" w14:textId="77777777" w:rsidR="00E67337" w:rsidRDefault="00E67337" w:rsidP="00E67337">
      <w:pPr>
        <w:pStyle w:val="FSCnMain"/>
        <w:ind w:left="2834" w:hanging="707"/>
      </w:pPr>
      <w:r>
        <w:t>(i) hexose monosaccharides and disaccharides, including dextrose, fructose, sucrose and lactose;</w:t>
      </w:r>
    </w:p>
    <w:p w14:paraId="4356EDF9" w14:textId="77777777" w:rsidR="00E67337" w:rsidRDefault="00E67337" w:rsidP="00E67337">
      <w:pPr>
        <w:pStyle w:val="FSCnMain"/>
        <w:ind w:left="2834" w:hanging="707"/>
      </w:pPr>
      <w:r>
        <w:t>(ii) starch hydrolysate;</w:t>
      </w:r>
    </w:p>
    <w:p w14:paraId="78F43F19" w14:textId="77777777" w:rsidR="00E67337" w:rsidRDefault="00E67337" w:rsidP="00E67337">
      <w:pPr>
        <w:pStyle w:val="FSCnMain"/>
        <w:ind w:left="2834" w:hanging="707"/>
      </w:pPr>
      <w:r>
        <w:t>(iii) glucose syrups, maltodextrin and similar products;</w:t>
      </w:r>
    </w:p>
    <w:p w14:paraId="4D25AA87" w14:textId="77777777" w:rsidR="00E67337" w:rsidRDefault="00E67337" w:rsidP="00E67337">
      <w:pPr>
        <w:pStyle w:val="FSCnMain"/>
        <w:ind w:left="2834" w:hanging="707"/>
      </w:pPr>
      <w:r>
        <w:t>(iv) products derived at a sugar refinery, including brown sugar and molasses;</w:t>
      </w:r>
    </w:p>
    <w:p w14:paraId="390BCE0B" w14:textId="77777777" w:rsidR="00E67337" w:rsidRDefault="00E67337" w:rsidP="00E67337">
      <w:pPr>
        <w:pStyle w:val="FSCnMain"/>
        <w:ind w:left="2834" w:hanging="707"/>
      </w:pPr>
      <w:r>
        <w:t>(v) icing sugar;</w:t>
      </w:r>
    </w:p>
    <w:p w14:paraId="14EC3D09" w14:textId="77777777" w:rsidR="00E67337" w:rsidRDefault="00E67337" w:rsidP="00E67337">
      <w:pPr>
        <w:pStyle w:val="FSCnMain"/>
        <w:ind w:left="2834" w:hanging="707"/>
      </w:pPr>
      <w:r>
        <w:t>(vi) invert sugar;</w:t>
      </w:r>
    </w:p>
    <w:p w14:paraId="45EE4F39" w14:textId="77777777" w:rsidR="00E67337" w:rsidRDefault="00E67337" w:rsidP="00E67337">
      <w:pPr>
        <w:pStyle w:val="FSCnMain"/>
        <w:ind w:left="2834" w:hanging="707"/>
      </w:pPr>
      <w:r>
        <w:t>(vii) fruit sugar syrup;</w:t>
      </w:r>
    </w:p>
    <w:p w14:paraId="62620616" w14:textId="77777777" w:rsidR="00E67337" w:rsidRDefault="00E67337" w:rsidP="00E67337">
      <w:pPr>
        <w:pStyle w:val="FSCnMain"/>
        <w:ind w:hanging="566"/>
      </w:pPr>
      <w:r>
        <w:t xml:space="preserve">          but does not include:</w:t>
      </w:r>
    </w:p>
    <w:p w14:paraId="659065AA" w14:textId="77777777" w:rsidR="00E67337" w:rsidRDefault="00E67337" w:rsidP="00E67337">
      <w:pPr>
        <w:pStyle w:val="FSCnMain"/>
        <w:ind w:hanging="141"/>
      </w:pPr>
      <w:r>
        <w:t>(i) malt or malt extracts; or</w:t>
      </w:r>
    </w:p>
    <w:p w14:paraId="6F990545" w14:textId="77777777" w:rsidR="00E67337" w:rsidRDefault="00E67337" w:rsidP="00E67337">
      <w:pPr>
        <w:pStyle w:val="FSCnMain"/>
        <w:ind w:hanging="141"/>
      </w:pPr>
      <w:r>
        <w:t>(ii) sorbitol, mannitol, glycerol, xylitol, polydextrose, isomalt, maltitol, maltitol syrup, erythritol or lactitol.</w:t>
      </w:r>
    </w:p>
    <w:p w14:paraId="5C6C1217" w14:textId="77777777" w:rsidR="00E67337" w:rsidRDefault="00E67337" w:rsidP="00E67337">
      <w:pPr>
        <w:pStyle w:val="FSCnMain"/>
        <w:ind w:hanging="566"/>
      </w:pPr>
      <w:r w:rsidRPr="000A6167">
        <w:rPr>
          <w:b/>
          <w:bCs/>
          <w:i/>
          <w:iCs/>
          <w:color w:val="000000"/>
          <w:sz w:val="12"/>
          <w:szCs w:val="12"/>
          <w:lang w:eastAsia="en-GB"/>
        </w:rPr>
        <w:t>Note</w:t>
      </w:r>
      <w:r>
        <w:rPr>
          <w:b/>
          <w:bCs/>
          <w:i/>
          <w:iCs/>
          <w:color w:val="000000"/>
          <w:sz w:val="12"/>
          <w:szCs w:val="12"/>
          <w:lang w:eastAsia="en-GB"/>
        </w:rPr>
        <w:t xml:space="preserve"> </w:t>
      </w:r>
      <w:r>
        <w:rPr>
          <w:b/>
          <w:bCs/>
          <w:i/>
          <w:iCs/>
          <w:color w:val="000000"/>
          <w:sz w:val="12"/>
          <w:szCs w:val="12"/>
          <w:lang w:eastAsia="en-GB"/>
        </w:rPr>
        <w:tab/>
      </w:r>
      <w:r w:rsidRPr="000A6167">
        <w:rPr>
          <w:b/>
          <w:bCs/>
          <w:i/>
          <w:iCs/>
          <w:color w:val="000000"/>
          <w:sz w:val="12"/>
          <w:szCs w:val="12"/>
          <w:lang w:eastAsia="en-GB"/>
        </w:rPr>
        <w:t xml:space="preserve"> </w:t>
      </w:r>
      <w:r w:rsidRPr="00A94961">
        <w:rPr>
          <w:b/>
          <w:bCs/>
          <w:i/>
          <w:iCs/>
          <w:color w:val="000000"/>
          <w:sz w:val="12"/>
          <w:szCs w:val="12"/>
          <w:lang w:eastAsia="en-GB"/>
        </w:rPr>
        <w:t>Sugar</w:t>
      </w:r>
      <w:r w:rsidRPr="000A6167">
        <w:rPr>
          <w:bCs/>
          <w:iCs/>
          <w:color w:val="000000"/>
          <w:sz w:val="12"/>
          <w:szCs w:val="12"/>
          <w:lang w:eastAsia="en-GB"/>
        </w:rPr>
        <w:t xml:space="preserve"> is defined differently—see section 1.1.2—3.</w:t>
      </w:r>
    </w:p>
    <w:p w14:paraId="38FED718" w14:textId="77777777" w:rsidR="00E67337" w:rsidRDefault="00E67337" w:rsidP="00E67337">
      <w:pPr>
        <w:pStyle w:val="FSCnMain"/>
        <w:ind w:hanging="566"/>
      </w:pPr>
      <w:r w:rsidRPr="00524A9E">
        <w:rPr>
          <w:b/>
          <w:i/>
        </w:rPr>
        <w:t>unit quantity</w:t>
      </w:r>
      <w:r>
        <w:t xml:space="preserve"> means:</w:t>
      </w:r>
    </w:p>
    <w:p w14:paraId="238E8C49" w14:textId="77777777" w:rsidR="00E67337" w:rsidRDefault="00E67337" w:rsidP="00E67337">
      <w:pPr>
        <w:pStyle w:val="FSCnMain"/>
        <w:ind w:hanging="566"/>
      </w:pPr>
      <w:r>
        <w:t>(a)      for a food that is a solid or semi-solid food—100 grams; or</w:t>
      </w:r>
    </w:p>
    <w:p w14:paraId="2EA89AD2" w14:textId="77777777" w:rsidR="00E67337" w:rsidRDefault="00E67337" w:rsidP="00E67337">
      <w:pPr>
        <w:pStyle w:val="FSCnMain"/>
        <w:tabs>
          <w:tab w:val="clear" w:pos="1701"/>
          <w:tab w:val="left" w:pos="851"/>
        </w:tabs>
        <w:ind w:hanging="566"/>
      </w:pPr>
      <w:r>
        <w:t>(b)      for a food that is a beverage or other liquid food—100 millilitres.</w:t>
      </w:r>
    </w:p>
    <w:p w14:paraId="15483D03" w14:textId="77777777" w:rsidR="00E67337" w:rsidRDefault="00E67337" w:rsidP="00E67337">
      <w:pPr>
        <w:pStyle w:val="FSCnMain"/>
        <w:tabs>
          <w:tab w:val="clear" w:pos="1701"/>
          <w:tab w:val="left" w:pos="851"/>
        </w:tabs>
        <w:rPr>
          <w:b/>
          <w:i/>
        </w:rPr>
      </w:pPr>
    </w:p>
    <w:p w14:paraId="0F5963F3" w14:textId="77777777" w:rsidR="00E67337" w:rsidRPr="00D81385" w:rsidRDefault="00E67337" w:rsidP="00E67337">
      <w:pPr>
        <w:pStyle w:val="FSCnMain"/>
        <w:tabs>
          <w:tab w:val="clear" w:pos="1701"/>
          <w:tab w:val="left" w:pos="851"/>
        </w:tabs>
      </w:pPr>
      <w:r w:rsidRPr="00D81385">
        <w:rPr>
          <w:b/>
          <w:i/>
        </w:rPr>
        <w:t>Note</w:t>
      </w:r>
      <w:r>
        <w:rPr>
          <w:b/>
          <w:i/>
        </w:rPr>
        <w:t xml:space="preserve"> 2</w:t>
      </w:r>
      <w:r w:rsidRPr="00D81385">
        <w:tab/>
        <w:t>In this Code (see section 1.1.2—3):</w:t>
      </w:r>
    </w:p>
    <w:p w14:paraId="735C1C2B" w14:textId="77777777" w:rsidR="00E67337" w:rsidRPr="00D81385" w:rsidRDefault="00E67337" w:rsidP="00E67337">
      <w:pPr>
        <w:pStyle w:val="FSCnMain"/>
      </w:pPr>
      <w:r w:rsidRPr="00D81385">
        <w:rPr>
          <w:b/>
          <w:i/>
        </w:rPr>
        <w:tab/>
        <w:t>brewed soft drink</w:t>
      </w:r>
      <w:r w:rsidRPr="00D81385">
        <w:t xml:space="preserve"> means a food that:</w:t>
      </w:r>
    </w:p>
    <w:p w14:paraId="2FB194FC" w14:textId="77777777" w:rsidR="00E67337" w:rsidRPr="00D81385" w:rsidRDefault="00E67337" w:rsidP="00E67337">
      <w:pPr>
        <w:pStyle w:val="FSCnMain"/>
        <w:ind w:left="2127" w:hanging="2127"/>
      </w:pPr>
      <w:r w:rsidRPr="00D81385">
        <w:tab/>
        <w:t>(a)</w:t>
      </w:r>
      <w:r w:rsidRPr="00D81385">
        <w:tab/>
        <w:t>is the product prepared by a fermentation process from water with sugar and one or more of:</w:t>
      </w:r>
    </w:p>
    <w:p w14:paraId="4AAD48A9" w14:textId="77777777" w:rsidR="00E67337" w:rsidRPr="00D81385" w:rsidRDefault="00E67337" w:rsidP="00E67337">
      <w:pPr>
        <w:pStyle w:val="FSCnMain"/>
        <w:tabs>
          <w:tab w:val="clear" w:pos="1701"/>
          <w:tab w:val="left" w:pos="2127"/>
        </w:tabs>
      </w:pPr>
      <w:r>
        <w:tab/>
        <w:t xml:space="preserve">(i)       </w:t>
      </w:r>
      <w:r w:rsidRPr="00D81385">
        <w:t>fruit extractives or infusions; or</w:t>
      </w:r>
    </w:p>
    <w:p w14:paraId="74C94F50" w14:textId="77777777" w:rsidR="00E67337" w:rsidRPr="00D81385" w:rsidRDefault="00E67337" w:rsidP="00E67337">
      <w:pPr>
        <w:pStyle w:val="FSCnMain"/>
        <w:tabs>
          <w:tab w:val="clear" w:pos="1701"/>
          <w:tab w:val="left" w:pos="2127"/>
        </w:tabs>
      </w:pPr>
      <w:r>
        <w:tab/>
        <w:t xml:space="preserve">(ii)      </w:t>
      </w:r>
      <w:r w:rsidRPr="00D81385">
        <w:t>vegetable extractives or infusions; and</w:t>
      </w:r>
    </w:p>
    <w:p w14:paraId="69F49AAF" w14:textId="77777777" w:rsidR="00E67337" w:rsidRPr="00D81385" w:rsidRDefault="00E67337" w:rsidP="00E67337">
      <w:pPr>
        <w:pStyle w:val="FSCnMain"/>
        <w:ind w:left="2127" w:hanging="2127"/>
      </w:pPr>
      <w:r w:rsidRPr="00D81385">
        <w:tab/>
        <w:t>(b)</w:t>
      </w:r>
      <w:r w:rsidRPr="00D81385">
        <w:tab/>
        <w:t>contains no more than 1.15% alcohol by volume.</w:t>
      </w:r>
    </w:p>
    <w:p w14:paraId="67DF17B2" w14:textId="77777777" w:rsidR="00E67337" w:rsidRPr="00D81385" w:rsidRDefault="00E67337" w:rsidP="00E67337">
      <w:pPr>
        <w:pStyle w:val="FSCnMain"/>
        <w:ind w:left="1701" w:hanging="1701"/>
      </w:pPr>
      <w:r w:rsidRPr="00D81385">
        <w:rPr>
          <w:b/>
          <w:i/>
        </w:rPr>
        <w:tab/>
        <w:t xml:space="preserve">electrolyte drink </w:t>
      </w:r>
      <w:r w:rsidRPr="00D81385">
        <w:t>means a drink formulated for the rapid replacement of fluid</w:t>
      </w:r>
      <w:r>
        <w:t>, carbohydrate</w:t>
      </w:r>
      <w:r w:rsidRPr="00D81385">
        <w:t xml:space="preserve"> and electrolytes during or after 60 minutes or more of </w:t>
      </w:r>
      <w:r>
        <w:t xml:space="preserve">sustained </w:t>
      </w:r>
      <w:r w:rsidRPr="00D81385">
        <w:t>strenuous physical activity.</w:t>
      </w:r>
    </w:p>
    <w:p w14:paraId="749CE59F" w14:textId="77777777" w:rsidR="00E67337" w:rsidRPr="00D81385" w:rsidRDefault="00E67337" w:rsidP="00E67337">
      <w:pPr>
        <w:pStyle w:val="FSCnMain"/>
      </w:pPr>
      <w:r w:rsidRPr="00D81385">
        <w:rPr>
          <w:b/>
          <w:i/>
        </w:rPr>
        <w:tab/>
        <w:t>electrolyte drink base</w:t>
      </w:r>
      <w:r w:rsidRPr="00D81385">
        <w:t xml:space="preserve"> means a solid or liquid which, when made up, makes an electrolyte drink.</w:t>
      </w:r>
    </w:p>
    <w:p w14:paraId="4221FC6C" w14:textId="77777777" w:rsidR="00E67337" w:rsidRPr="00D81385" w:rsidRDefault="00E67337" w:rsidP="00E67337">
      <w:pPr>
        <w:pStyle w:val="FSCnMain"/>
      </w:pPr>
      <w:r w:rsidRPr="00D81385">
        <w:tab/>
      </w:r>
      <w:r w:rsidRPr="00D81385">
        <w:rPr>
          <w:b/>
          <w:i/>
        </w:rPr>
        <w:t>formulated beverage</w:t>
      </w:r>
      <w:r w:rsidRPr="00D81385">
        <w:t xml:space="preserve"> means a non-carbonated, ready-to-drink, flavoured beverage that:</w:t>
      </w:r>
    </w:p>
    <w:p w14:paraId="2CDD9839" w14:textId="77777777" w:rsidR="00E67337" w:rsidRPr="00D81385" w:rsidRDefault="00E67337" w:rsidP="00E67337">
      <w:pPr>
        <w:pStyle w:val="FSCnMain"/>
      </w:pPr>
      <w:r w:rsidRPr="00D81385">
        <w:tab/>
        <w:t>(a)</w:t>
      </w:r>
      <w:r w:rsidRPr="00D81385">
        <w:tab/>
        <w:t>is water-based; and</w:t>
      </w:r>
    </w:p>
    <w:p w14:paraId="4C258624" w14:textId="77777777" w:rsidR="00E67337" w:rsidRPr="00D81385" w:rsidRDefault="00E67337" w:rsidP="00E67337">
      <w:pPr>
        <w:pStyle w:val="FSCnMain"/>
      </w:pPr>
      <w:r w:rsidRPr="00D81385">
        <w:tab/>
        <w:t>(b)</w:t>
      </w:r>
      <w:r w:rsidRPr="00D81385">
        <w:tab/>
        <w:t>contains added vitamins or minerals or both vitamins and minerals; and</w:t>
      </w:r>
    </w:p>
    <w:p w14:paraId="5697FF33" w14:textId="77777777" w:rsidR="00E67337" w:rsidRPr="00D81385" w:rsidRDefault="00E67337" w:rsidP="00E67337">
      <w:pPr>
        <w:pStyle w:val="FSCnMain"/>
      </w:pPr>
      <w:r w:rsidRPr="00D81385">
        <w:tab/>
        <w:t>(c)</w:t>
      </w:r>
      <w:r w:rsidRPr="00D81385">
        <w:tab/>
        <w:t>contains no more than 240 mL/L of fruit from one or more of the following sources:</w:t>
      </w:r>
    </w:p>
    <w:p w14:paraId="2026257D" w14:textId="77777777" w:rsidR="00E67337" w:rsidRPr="00D81385" w:rsidRDefault="00E67337" w:rsidP="00E67337">
      <w:pPr>
        <w:pStyle w:val="FSCnMain"/>
        <w:tabs>
          <w:tab w:val="clear" w:pos="1701"/>
          <w:tab w:val="left" w:pos="2694"/>
        </w:tabs>
      </w:pPr>
      <w:r w:rsidRPr="00D81385">
        <w:tab/>
        <w:t>(i)</w:t>
      </w:r>
      <w:r w:rsidRPr="00D81385">
        <w:tab/>
        <w:t>fruit juice;</w:t>
      </w:r>
    </w:p>
    <w:p w14:paraId="7278FDB4" w14:textId="77777777" w:rsidR="00E67337" w:rsidRPr="00D81385" w:rsidRDefault="00E67337" w:rsidP="00E67337">
      <w:pPr>
        <w:pStyle w:val="FSCnMain"/>
        <w:tabs>
          <w:tab w:val="clear" w:pos="1701"/>
          <w:tab w:val="left" w:pos="2694"/>
        </w:tabs>
      </w:pPr>
      <w:r w:rsidRPr="00D81385">
        <w:tab/>
        <w:t>(ii)</w:t>
      </w:r>
      <w:r w:rsidRPr="00D81385">
        <w:tab/>
        <w:t>fruit purée;</w:t>
      </w:r>
    </w:p>
    <w:p w14:paraId="26A9E5AB" w14:textId="77777777" w:rsidR="00E67337" w:rsidRPr="00D81385" w:rsidRDefault="00E67337" w:rsidP="00E67337">
      <w:pPr>
        <w:pStyle w:val="FSCnMain"/>
        <w:tabs>
          <w:tab w:val="clear" w:pos="1701"/>
          <w:tab w:val="left" w:pos="2694"/>
        </w:tabs>
      </w:pPr>
      <w:r w:rsidRPr="00D81385">
        <w:lastRenderedPageBreak/>
        <w:tab/>
        <w:t>(iii)</w:t>
      </w:r>
      <w:r w:rsidRPr="00D81385">
        <w:tab/>
        <w:t>concentrated fruit juice;</w:t>
      </w:r>
    </w:p>
    <w:p w14:paraId="5EDC8D96" w14:textId="77777777" w:rsidR="00E67337" w:rsidRPr="00D81385" w:rsidRDefault="00E67337" w:rsidP="00E67337">
      <w:pPr>
        <w:pStyle w:val="FSCnMain"/>
        <w:tabs>
          <w:tab w:val="clear" w:pos="1701"/>
          <w:tab w:val="left" w:pos="2694"/>
        </w:tabs>
      </w:pPr>
      <w:r w:rsidRPr="00D81385">
        <w:tab/>
        <w:t>(iv)</w:t>
      </w:r>
      <w:r w:rsidRPr="00D81385">
        <w:tab/>
        <w:t>concentrated fruit purée;</w:t>
      </w:r>
    </w:p>
    <w:p w14:paraId="4E30A3BC" w14:textId="77777777" w:rsidR="00E67337" w:rsidRPr="00D81385" w:rsidRDefault="00E67337" w:rsidP="00E67337">
      <w:pPr>
        <w:pStyle w:val="FSCnMain"/>
        <w:tabs>
          <w:tab w:val="clear" w:pos="1701"/>
          <w:tab w:val="left" w:pos="2694"/>
        </w:tabs>
      </w:pPr>
      <w:r w:rsidRPr="00D81385">
        <w:tab/>
        <w:t>(v)</w:t>
      </w:r>
      <w:r w:rsidRPr="00D81385">
        <w:tab/>
      </w:r>
      <w:r>
        <w:t>*</w:t>
      </w:r>
      <w:r w:rsidRPr="00D81385">
        <w:t>comminuted fruit;</w:t>
      </w:r>
    </w:p>
    <w:p w14:paraId="3B0640E2" w14:textId="77777777" w:rsidR="00E67337" w:rsidRPr="00D81385" w:rsidRDefault="00E67337" w:rsidP="00E67337">
      <w:pPr>
        <w:pStyle w:val="FSCnMain"/>
        <w:tabs>
          <w:tab w:val="clear" w:pos="1701"/>
          <w:tab w:val="left" w:pos="2694"/>
        </w:tabs>
      </w:pPr>
      <w:r w:rsidRPr="00D81385">
        <w:tab/>
        <w:t>(vi)</w:t>
      </w:r>
      <w:r w:rsidRPr="00D81385">
        <w:tab/>
        <w:t>orange peel extract; and</w:t>
      </w:r>
    </w:p>
    <w:p w14:paraId="79F3F2EB" w14:textId="77777777" w:rsidR="00E67337" w:rsidRPr="00D81385" w:rsidRDefault="00E67337" w:rsidP="00E67337">
      <w:pPr>
        <w:pStyle w:val="FSCnMain"/>
        <w:tabs>
          <w:tab w:val="clear" w:pos="1701"/>
          <w:tab w:val="left" w:pos="2268"/>
        </w:tabs>
        <w:ind w:left="1701" w:hanging="1701"/>
      </w:pPr>
      <w:r w:rsidRPr="00D81385">
        <w:tab/>
        <w:t>(d)</w:t>
      </w:r>
      <w:r w:rsidRPr="00D81385">
        <w:tab/>
        <w:t>contains no more than 75 g/L of sugars; and</w:t>
      </w:r>
    </w:p>
    <w:p w14:paraId="1EBB12E4" w14:textId="77777777" w:rsidR="00E67337" w:rsidRPr="00D81385" w:rsidRDefault="00E67337" w:rsidP="00E67337">
      <w:pPr>
        <w:pStyle w:val="FSCnMain"/>
        <w:tabs>
          <w:tab w:val="clear" w:pos="1701"/>
        </w:tabs>
        <w:ind w:left="1701" w:hanging="1701"/>
      </w:pPr>
      <w:r w:rsidRPr="00D81385">
        <w:tab/>
        <w:t>(e)</w:t>
      </w:r>
      <w:r w:rsidRPr="00D81385">
        <w:tab/>
        <w:t>does not contain:</w:t>
      </w:r>
    </w:p>
    <w:p w14:paraId="09D06F80" w14:textId="77777777" w:rsidR="00E67337" w:rsidRPr="00D81385" w:rsidRDefault="00E67337" w:rsidP="00E67337">
      <w:pPr>
        <w:pStyle w:val="FSCnMain"/>
        <w:tabs>
          <w:tab w:val="clear" w:pos="1701"/>
          <w:tab w:val="left" w:pos="2694"/>
        </w:tabs>
      </w:pPr>
      <w:r w:rsidRPr="00D81385">
        <w:tab/>
        <w:t>(i)</w:t>
      </w:r>
      <w:r w:rsidRPr="00D81385">
        <w:tab/>
        <w:t>carbon dioxide; or</w:t>
      </w:r>
    </w:p>
    <w:p w14:paraId="1C523D98" w14:textId="77777777" w:rsidR="00E67337" w:rsidRPr="00D81385" w:rsidRDefault="00E67337" w:rsidP="00E67337">
      <w:pPr>
        <w:pStyle w:val="FSCnMain"/>
        <w:tabs>
          <w:tab w:val="clear" w:pos="1701"/>
          <w:tab w:val="left" w:pos="2694"/>
        </w:tabs>
      </w:pPr>
      <w:r w:rsidRPr="00D81385">
        <w:tab/>
        <w:t>(ii)</w:t>
      </w:r>
      <w:r w:rsidRPr="00D81385">
        <w:tab/>
        <w:t>caffeine; and</w:t>
      </w:r>
    </w:p>
    <w:p w14:paraId="1A11BD9F" w14:textId="77777777" w:rsidR="00E67337" w:rsidRPr="00D81385" w:rsidRDefault="00E67337" w:rsidP="00E67337">
      <w:pPr>
        <w:pStyle w:val="FSCnMain"/>
        <w:tabs>
          <w:tab w:val="clear" w:pos="1701"/>
        </w:tabs>
        <w:ind w:left="1701" w:hanging="1701"/>
      </w:pPr>
      <w:r w:rsidRPr="00D81385">
        <w:tab/>
        <w:t>(f)</w:t>
      </w:r>
      <w:r w:rsidRPr="00D81385">
        <w:tab/>
        <w:t>is not mixed with any other beverage.</w:t>
      </w:r>
    </w:p>
    <w:p w14:paraId="35A44897" w14:textId="77777777" w:rsidR="00E67337" w:rsidRPr="00D81385" w:rsidRDefault="00E67337" w:rsidP="00E67337">
      <w:pPr>
        <w:pStyle w:val="FSCnMain"/>
      </w:pPr>
      <w:r w:rsidRPr="00D81385">
        <w:rPr>
          <w:b/>
          <w:i/>
        </w:rPr>
        <w:tab/>
        <w:t>fruit drink</w:t>
      </w:r>
      <w:r w:rsidRPr="00D81385">
        <w:t xml:space="preserve"> means a product that is prepared from:</w:t>
      </w:r>
    </w:p>
    <w:p w14:paraId="7A819BCC" w14:textId="77777777" w:rsidR="00E67337" w:rsidRPr="00D81385" w:rsidRDefault="00E67337" w:rsidP="00E67337">
      <w:pPr>
        <w:pStyle w:val="FSCnMain"/>
      </w:pPr>
      <w:r w:rsidRPr="00D81385">
        <w:tab/>
        <w:t>(a)</w:t>
      </w:r>
      <w:r w:rsidRPr="00D81385">
        <w:tab/>
        <w:t>one or more of the following:</w:t>
      </w:r>
    </w:p>
    <w:p w14:paraId="5942E43C" w14:textId="77777777" w:rsidR="00E67337" w:rsidRPr="00D81385" w:rsidRDefault="00E67337" w:rsidP="00E67337">
      <w:pPr>
        <w:pStyle w:val="FSCnMain"/>
        <w:tabs>
          <w:tab w:val="clear" w:pos="1701"/>
          <w:tab w:val="left" w:pos="2268"/>
          <w:tab w:val="left" w:pos="2694"/>
        </w:tabs>
      </w:pPr>
      <w:r w:rsidRPr="00D81385">
        <w:tab/>
        <w:t>(i)</w:t>
      </w:r>
      <w:r w:rsidRPr="00D81385">
        <w:tab/>
        <w:t>fruit juice;</w:t>
      </w:r>
    </w:p>
    <w:p w14:paraId="763AA6D6" w14:textId="77777777" w:rsidR="00E67337" w:rsidRPr="00D81385" w:rsidRDefault="00E67337" w:rsidP="00E67337">
      <w:pPr>
        <w:pStyle w:val="FSCnMain"/>
        <w:tabs>
          <w:tab w:val="clear" w:pos="1701"/>
          <w:tab w:val="left" w:pos="2268"/>
          <w:tab w:val="left" w:pos="2694"/>
        </w:tabs>
      </w:pPr>
      <w:r w:rsidRPr="00D81385">
        <w:tab/>
        <w:t>(ii)</w:t>
      </w:r>
      <w:r w:rsidRPr="00D81385">
        <w:tab/>
        <w:t>fruit purée;</w:t>
      </w:r>
    </w:p>
    <w:p w14:paraId="431F662A" w14:textId="77777777" w:rsidR="00E67337" w:rsidRPr="00D81385" w:rsidRDefault="00E67337" w:rsidP="00E67337">
      <w:pPr>
        <w:pStyle w:val="FSCnMain"/>
        <w:tabs>
          <w:tab w:val="clear" w:pos="1701"/>
          <w:tab w:val="left" w:pos="2268"/>
          <w:tab w:val="left" w:pos="2694"/>
        </w:tabs>
      </w:pPr>
      <w:r w:rsidRPr="00D81385">
        <w:tab/>
        <w:t>(iii)</w:t>
      </w:r>
      <w:r w:rsidRPr="00D81385">
        <w:tab/>
        <w:t>concentrated fruit juice;</w:t>
      </w:r>
    </w:p>
    <w:p w14:paraId="269F2E01" w14:textId="77777777" w:rsidR="00E67337" w:rsidRPr="00D81385" w:rsidRDefault="00E67337" w:rsidP="00E67337">
      <w:pPr>
        <w:pStyle w:val="FSCnMain"/>
        <w:tabs>
          <w:tab w:val="clear" w:pos="1701"/>
          <w:tab w:val="left" w:pos="2268"/>
          <w:tab w:val="left" w:pos="2694"/>
        </w:tabs>
      </w:pPr>
      <w:r w:rsidRPr="00D81385">
        <w:tab/>
        <w:t>(iv)</w:t>
      </w:r>
      <w:r w:rsidRPr="00D81385">
        <w:tab/>
        <w:t>concentrated fruit purée;</w:t>
      </w:r>
    </w:p>
    <w:p w14:paraId="43B4A08C" w14:textId="77777777" w:rsidR="00E67337" w:rsidRPr="00D81385" w:rsidRDefault="00E67337" w:rsidP="00E67337">
      <w:pPr>
        <w:pStyle w:val="FSCnMain"/>
        <w:tabs>
          <w:tab w:val="clear" w:pos="1701"/>
          <w:tab w:val="left" w:pos="2268"/>
          <w:tab w:val="left" w:pos="2694"/>
        </w:tabs>
      </w:pPr>
      <w:r w:rsidRPr="00D81385">
        <w:tab/>
        <w:t>(v)</w:t>
      </w:r>
      <w:r w:rsidRPr="00D81385">
        <w:tab/>
      </w:r>
      <w:r>
        <w:t>*</w:t>
      </w:r>
      <w:r w:rsidRPr="00D81385">
        <w:t>comminuted fruit;</w:t>
      </w:r>
    </w:p>
    <w:p w14:paraId="037FFFF1" w14:textId="77777777" w:rsidR="00E67337" w:rsidRPr="00D81385" w:rsidRDefault="00E67337" w:rsidP="00E67337">
      <w:pPr>
        <w:pStyle w:val="FSCnMain"/>
        <w:tabs>
          <w:tab w:val="clear" w:pos="1701"/>
          <w:tab w:val="left" w:pos="2268"/>
          <w:tab w:val="left" w:pos="2694"/>
        </w:tabs>
      </w:pPr>
      <w:r w:rsidRPr="00D81385">
        <w:tab/>
        <w:t>(vi)</w:t>
      </w:r>
      <w:r w:rsidRPr="00D81385">
        <w:tab/>
        <w:t>orange peel extract; and</w:t>
      </w:r>
    </w:p>
    <w:p w14:paraId="608A754C" w14:textId="77777777" w:rsidR="00E67337" w:rsidRPr="00D81385" w:rsidRDefault="00E67337" w:rsidP="00E67337">
      <w:pPr>
        <w:pStyle w:val="FSCnMain"/>
      </w:pPr>
      <w:r w:rsidRPr="00D81385">
        <w:tab/>
        <w:t>(b)</w:t>
      </w:r>
      <w:r w:rsidRPr="00D81385">
        <w:tab/>
        <w:t>one or more of the following:</w:t>
      </w:r>
    </w:p>
    <w:p w14:paraId="3AC2E004" w14:textId="77777777" w:rsidR="00E67337" w:rsidRPr="00D81385" w:rsidRDefault="00E67337" w:rsidP="00E67337">
      <w:pPr>
        <w:pStyle w:val="FSCnMain"/>
        <w:tabs>
          <w:tab w:val="clear" w:pos="1701"/>
          <w:tab w:val="left" w:pos="2268"/>
          <w:tab w:val="left" w:pos="2694"/>
        </w:tabs>
      </w:pPr>
      <w:r w:rsidRPr="00D81385">
        <w:tab/>
        <w:t>(i)</w:t>
      </w:r>
      <w:r w:rsidRPr="00D81385">
        <w:tab/>
        <w:t>water;</w:t>
      </w:r>
    </w:p>
    <w:p w14:paraId="6118D982" w14:textId="77777777" w:rsidR="00E67337" w:rsidRPr="00D81385" w:rsidRDefault="00E67337" w:rsidP="00E67337">
      <w:pPr>
        <w:pStyle w:val="FSCnMain"/>
        <w:tabs>
          <w:tab w:val="clear" w:pos="1701"/>
          <w:tab w:val="left" w:pos="2268"/>
          <w:tab w:val="left" w:pos="2694"/>
        </w:tabs>
      </w:pPr>
      <w:r w:rsidRPr="00D81385">
        <w:tab/>
        <w:t>(ii)</w:t>
      </w:r>
      <w:r w:rsidRPr="00D81385">
        <w:tab/>
        <w:t>mineralised water; and</w:t>
      </w:r>
    </w:p>
    <w:p w14:paraId="115D4B30" w14:textId="77777777" w:rsidR="00E67337" w:rsidRPr="00D81385" w:rsidRDefault="00E67337" w:rsidP="00E67337">
      <w:pPr>
        <w:pStyle w:val="FSCnMain"/>
        <w:tabs>
          <w:tab w:val="clear" w:pos="1701"/>
          <w:tab w:val="left" w:pos="2268"/>
          <w:tab w:val="left" w:pos="2694"/>
        </w:tabs>
      </w:pPr>
      <w:r w:rsidRPr="00D81385">
        <w:tab/>
        <w:t>(iii)</w:t>
      </w:r>
      <w:r w:rsidRPr="00D81385">
        <w:tab/>
        <w:t>sugars.</w:t>
      </w:r>
    </w:p>
    <w:p w14:paraId="431A26B0" w14:textId="77777777" w:rsidR="00E67337" w:rsidRDefault="00E67337" w:rsidP="00E67337">
      <w:pPr>
        <w:pStyle w:val="FSCnMain"/>
        <w:ind w:left="1701"/>
      </w:pPr>
      <w:r w:rsidRPr="00D81385">
        <w:rPr>
          <w:b/>
          <w:i/>
        </w:rPr>
        <w:tab/>
        <w:t xml:space="preserve">mineral water </w:t>
      </w:r>
      <w:r w:rsidRPr="00D81385">
        <w:t>or</w:t>
      </w:r>
      <w:r w:rsidRPr="00D81385">
        <w:rPr>
          <w:b/>
          <w:i/>
        </w:rPr>
        <w:t xml:space="preserve"> spring water</w:t>
      </w:r>
      <w:r w:rsidRPr="00D81385">
        <w:t xml:space="preserve"> means ground water obtained from subterranean water-bearing strata that, in its natural state, contains soluble matter.</w:t>
      </w:r>
    </w:p>
    <w:p w14:paraId="5D4AF4E5" w14:textId="77777777" w:rsidR="00E67337" w:rsidRPr="00D81385" w:rsidRDefault="00E67337" w:rsidP="00E67337">
      <w:pPr>
        <w:pStyle w:val="FSCnMain"/>
      </w:pPr>
      <w:r w:rsidRPr="00D81385">
        <w:rPr>
          <w:b/>
          <w:i/>
        </w:rPr>
        <w:tab/>
        <w:t>non-alcoholic beverage</w:t>
      </w:r>
      <w:r w:rsidRPr="00D81385">
        <w:t>:</w:t>
      </w:r>
    </w:p>
    <w:p w14:paraId="1FA1CF8F" w14:textId="77777777" w:rsidR="00E67337" w:rsidRPr="00D81385" w:rsidRDefault="00E67337" w:rsidP="00E67337">
      <w:pPr>
        <w:pStyle w:val="FSCnMain"/>
        <w:ind w:hanging="567"/>
      </w:pPr>
      <w:r>
        <w:t xml:space="preserve">(a)     </w:t>
      </w:r>
      <w:r w:rsidRPr="00D81385">
        <w:t>means:</w:t>
      </w:r>
    </w:p>
    <w:p w14:paraId="1DA456AD" w14:textId="77777777" w:rsidR="00E67337" w:rsidRPr="00D81385" w:rsidRDefault="00E67337" w:rsidP="00E67337">
      <w:pPr>
        <w:pStyle w:val="FSCnMain"/>
        <w:tabs>
          <w:tab w:val="clear" w:pos="1701"/>
          <w:tab w:val="left" w:pos="2268"/>
          <w:tab w:val="left" w:pos="2552"/>
        </w:tabs>
        <w:ind w:left="2127" w:hanging="2127"/>
      </w:pPr>
      <w:r w:rsidRPr="00D81385">
        <w:tab/>
        <w:t>(i)</w:t>
      </w:r>
      <w:r w:rsidRPr="00D81385">
        <w:tab/>
      </w:r>
      <w:r>
        <w:t xml:space="preserve"> </w:t>
      </w:r>
      <w:r w:rsidRPr="00D81385">
        <w:t>packaged water; or</w:t>
      </w:r>
    </w:p>
    <w:p w14:paraId="449DE764" w14:textId="77777777" w:rsidR="00E67337" w:rsidRPr="00D81385" w:rsidRDefault="00E67337" w:rsidP="00E67337">
      <w:pPr>
        <w:pStyle w:val="FSCnMain"/>
        <w:tabs>
          <w:tab w:val="clear" w:pos="1701"/>
          <w:tab w:val="left" w:pos="2127"/>
        </w:tabs>
        <w:ind w:left="2552" w:hanging="2127"/>
      </w:pPr>
      <w:r>
        <w:tab/>
        <w:t xml:space="preserve">(ii)      </w:t>
      </w:r>
      <w:r w:rsidRPr="00D81385">
        <w:t>a water-based beverage, or a water-based beverage that c</w:t>
      </w:r>
      <w:r>
        <w:t xml:space="preserve">ontains other foods (other than </w:t>
      </w:r>
      <w:r w:rsidRPr="00D81385">
        <w:t>alcoholic beverages); or</w:t>
      </w:r>
    </w:p>
    <w:p w14:paraId="78C2B82C" w14:textId="77777777" w:rsidR="00E67337" w:rsidRPr="00D81385" w:rsidRDefault="00E67337" w:rsidP="00E67337">
      <w:pPr>
        <w:pStyle w:val="FSCnMain"/>
        <w:tabs>
          <w:tab w:val="clear" w:pos="1701"/>
          <w:tab w:val="left" w:pos="2268"/>
        </w:tabs>
        <w:ind w:left="2127" w:hanging="2127"/>
      </w:pPr>
      <w:r>
        <w:tab/>
        <w:t xml:space="preserve">(iii)     </w:t>
      </w:r>
      <w:r w:rsidRPr="00D81385">
        <w:t>an electrolyte drink; and</w:t>
      </w:r>
    </w:p>
    <w:p w14:paraId="61206FCF" w14:textId="77777777" w:rsidR="00E67337" w:rsidRDefault="00E67337" w:rsidP="00E67337">
      <w:pPr>
        <w:pStyle w:val="FSCnMain"/>
      </w:pPr>
      <w:r w:rsidRPr="00D81385">
        <w:rPr>
          <w:rFonts w:ascii="Times New Roman" w:hAnsi="Times New Roman"/>
          <w:sz w:val="24"/>
          <w:szCs w:val="24"/>
        </w:rPr>
        <w:tab/>
      </w:r>
      <w:r>
        <w:t xml:space="preserve">(b)     </w:t>
      </w:r>
      <w:r w:rsidRPr="00FB5FC8">
        <w:t>does not include a brewed soft drink.</w:t>
      </w:r>
    </w:p>
    <w:p w14:paraId="346E53E8" w14:textId="77777777" w:rsidR="00E67337" w:rsidRPr="00305C92" w:rsidRDefault="00E67337" w:rsidP="00E67337">
      <w:pPr>
        <w:pStyle w:val="FSCnMain"/>
        <w:ind w:left="3969"/>
        <w:rPr>
          <w:rFonts w:cs="Times New Roman"/>
          <w:sz w:val="20"/>
          <w:szCs w:val="20"/>
          <w:lang w:eastAsia="en-US"/>
        </w:rPr>
      </w:pPr>
      <w:r w:rsidRPr="00305C92">
        <w:rPr>
          <w:b/>
          <w:i/>
        </w:rPr>
        <w:t>sugar</w:t>
      </w:r>
      <w:r w:rsidRPr="00305C92">
        <w:rPr>
          <w:rFonts w:cs="Times New Roman"/>
          <w:sz w:val="20"/>
          <w:szCs w:val="20"/>
          <w:lang w:eastAsia="en-US"/>
        </w:rPr>
        <w:t xml:space="preserve"> </w:t>
      </w:r>
      <w:r w:rsidRPr="00305C92">
        <w:t>means, unless otherwise expressly stated, any of the following:</w:t>
      </w:r>
    </w:p>
    <w:p w14:paraId="0795C0DA" w14:textId="77777777" w:rsidR="00E67337" w:rsidRPr="00305C92" w:rsidRDefault="00E67337" w:rsidP="00E67337">
      <w:pPr>
        <w:pStyle w:val="FSCnMain"/>
        <w:ind w:left="3969"/>
      </w:pPr>
      <w:r w:rsidRPr="00305C92">
        <w:t>(</w:t>
      </w:r>
      <w:r>
        <w:t xml:space="preserve">a)     </w:t>
      </w:r>
      <w:r w:rsidRPr="00305C92">
        <w:t>white sugar;</w:t>
      </w:r>
    </w:p>
    <w:p w14:paraId="17142F4F" w14:textId="77777777" w:rsidR="00E67337" w:rsidRPr="00305C92" w:rsidRDefault="00E67337" w:rsidP="00E67337">
      <w:pPr>
        <w:pStyle w:val="FSCnMain"/>
        <w:ind w:left="3969"/>
      </w:pPr>
      <w:r w:rsidRPr="00305C92">
        <w:t xml:space="preserve">(b) </w:t>
      </w:r>
      <w:r>
        <w:t xml:space="preserve">    </w:t>
      </w:r>
      <w:r w:rsidRPr="00305C92">
        <w:t>caster sugar;</w:t>
      </w:r>
    </w:p>
    <w:p w14:paraId="7C67A171" w14:textId="77777777" w:rsidR="00E67337" w:rsidRPr="00305C92" w:rsidRDefault="00E67337" w:rsidP="00E67337">
      <w:pPr>
        <w:pStyle w:val="FSCnMain"/>
        <w:ind w:left="3969"/>
      </w:pPr>
      <w:r w:rsidRPr="00305C92">
        <w:t xml:space="preserve">(c) </w:t>
      </w:r>
      <w:r>
        <w:t xml:space="preserve">    </w:t>
      </w:r>
      <w:r w:rsidRPr="00305C92">
        <w:t>icing sugar;</w:t>
      </w:r>
    </w:p>
    <w:p w14:paraId="2EA971A6" w14:textId="77777777" w:rsidR="00E67337" w:rsidRPr="00305C92" w:rsidRDefault="00E67337" w:rsidP="00E67337">
      <w:pPr>
        <w:pStyle w:val="FSCnMain"/>
        <w:ind w:left="3969"/>
      </w:pPr>
      <w:r w:rsidRPr="00305C92">
        <w:t xml:space="preserve">(d) </w:t>
      </w:r>
      <w:r>
        <w:t xml:space="preserve">    </w:t>
      </w:r>
      <w:r w:rsidRPr="00305C92">
        <w:t>loaf sugar;</w:t>
      </w:r>
    </w:p>
    <w:p w14:paraId="3579C20D" w14:textId="77777777" w:rsidR="00E67337" w:rsidRPr="00305C92" w:rsidRDefault="00E67337" w:rsidP="00E67337">
      <w:pPr>
        <w:pStyle w:val="FSCnMain"/>
        <w:ind w:left="3969"/>
      </w:pPr>
      <w:r w:rsidRPr="00305C92">
        <w:t xml:space="preserve">(e) </w:t>
      </w:r>
      <w:r>
        <w:t xml:space="preserve">    </w:t>
      </w:r>
      <w:r w:rsidRPr="00305C92">
        <w:t>coffee sugar;</w:t>
      </w:r>
    </w:p>
    <w:p w14:paraId="1B1630E9" w14:textId="77777777" w:rsidR="00E67337" w:rsidRPr="00305C92" w:rsidRDefault="00E67337" w:rsidP="00E67337">
      <w:pPr>
        <w:pStyle w:val="FSCnMain"/>
      </w:pPr>
      <w:r>
        <w:tab/>
      </w:r>
      <w:r w:rsidRPr="00305C92">
        <w:t xml:space="preserve">(f) </w:t>
      </w:r>
      <w:r>
        <w:t xml:space="preserve">     </w:t>
      </w:r>
      <w:r w:rsidRPr="00305C92">
        <w:t>raw sugar.</w:t>
      </w:r>
    </w:p>
    <w:p w14:paraId="3D5F195C" w14:textId="77777777" w:rsidR="00E67337" w:rsidRDefault="00E67337" w:rsidP="00E67337">
      <w:pPr>
        <w:pStyle w:val="FSCnMain"/>
        <w:tabs>
          <w:tab w:val="clear" w:pos="1701"/>
          <w:tab w:val="left" w:pos="851"/>
        </w:tabs>
        <w:rPr>
          <w:b/>
          <w:i/>
        </w:rPr>
      </w:pPr>
    </w:p>
    <w:p w14:paraId="045CB98A" w14:textId="77777777" w:rsidR="00E67337" w:rsidRDefault="00E67337" w:rsidP="00E67337">
      <w:pPr>
        <w:pStyle w:val="FSCnMain"/>
        <w:tabs>
          <w:tab w:val="clear" w:pos="1701"/>
          <w:tab w:val="left" w:pos="851"/>
        </w:tabs>
      </w:pPr>
      <w:r>
        <w:rPr>
          <w:b/>
          <w:i/>
        </w:rPr>
        <w:t>Note 3</w:t>
      </w:r>
      <w:r>
        <w:rPr>
          <w:i/>
        </w:rPr>
        <w:tab/>
      </w:r>
      <w:r>
        <w:t>In this Code (see subsection 1.1.2—9(1))</w:t>
      </w:r>
    </w:p>
    <w:p w14:paraId="744691CF" w14:textId="77777777" w:rsidR="00E67337" w:rsidRDefault="00E67337" w:rsidP="00E67337">
      <w:pPr>
        <w:pStyle w:val="FSCnMain"/>
        <w:ind w:left="1701" w:hanging="1701"/>
      </w:pPr>
      <w:r>
        <w:rPr>
          <w:b/>
          <w:i/>
        </w:rPr>
        <w:tab/>
      </w:r>
      <w:r>
        <w:rPr>
          <w:b/>
          <w:i/>
        </w:rPr>
        <w:tab/>
        <w:t xml:space="preserve">nutrition content claim </w:t>
      </w:r>
      <w:r>
        <w:t>means a claim that:</w:t>
      </w:r>
    </w:p>
    <w:p w14:paraId="5254B89F" w14:textId="77777777" w:rsidR="00E67337" w:rsidRDefault="00E67337" w:rsidP="00E67337">
      <w:pPr>
        <w:pStyle w:val="FSCnMain"/>
        <w:tabs>
          <w:tab w:val="clear" w:pos="1701"/>
          <w:tab w:val="left" w:pos="2127"/>
          <w:tab w:val="left" w:pos="2694"/>
        </w:tabs>
      </w:pPr>
      <w:r>
        <w:tab/>
        <w:t xml:space="preserve">  (a)    is about:</w:t>
      </w:r>
    </w:p>
    <w:p w14:paraId="173B8082" w14:textId="77777777" w:rsidR="00E67337" w:rsidRDefault="00E67337" w:rsidP="00E67337">
      <w:pPr>
        <w:pStyle w:val="FSCnMain"/>
        <w:tabs>
          <w:tab w:val="clear" w:pos="1701"/>
          <w:tab w:val="left" w:pos="1985"/>
        </w:tabs>
        <w:ind w:left="3402" w:hanging="992"/>
      </w:pPr>
      <w:r>
        <w:t xml:space="preserve">    (i) the presence or absence of any of the following:</w:t>
      </w:r>
    </w:p>
    <w:p w14:paraId="60BDBF69" w14:textId="77777777" w:rsidR="00E67337" w:rsidRDefault="00E67337" w:rsidP="00E67337">
      <w:pPr>
        <w:pStyle w:val="FSCnMain"/>
        <w:tabs>
          <w:tab w:val="clear" w:pos="1701"/>
          <w:tab w:val="left" w:pos="2268"/>
        </w:tabs>
        <w:ind w:left="3402" w:hanging="567"/>
      </w:pPr>
      <w:r>
        <w:t>(A) *biologically active substance;</w:t>
      </w:r>
    </w:p>
    <w:p w14:paraId="6A650438" w14:textId="77777777" w:rsidR="00E67337" w:rsidRDefault="00E67337" w:rsidP="00E67337">
      <w:pPr>
        <w:pStyle w:val="FSCnMain"/>
        <w:tabs>
          <w:tab w:val="clear" w:pos="1701"/>
          <w:tab w:val="left" w:pos="2268"/>
        </w:tabs>
        <w:ind w:left="3402" w:hanging="567"/>
      </w:pPr>
      <w:r>
        <w:t>(B) *dietary fibre;</w:t>
      </w:r>
    </w:p>
    <w:p w14:paraId="405FD9D2" w14:textId="77777777" w:rsidR="00E67337" w:rsidRDefault="00E67337" w:rsidP="00E67337">
      <w:pPr>
        <w:pStyle w:val="FSCnMain"/>
        <w:tabs>
          <w:tab w:val="clear" w:pos="1701"/>
          <w:tab w:val="left" w:pos="2268"/>
        </w:tabs>
        <w:ind w:left="3402" w:hanging="567"/>
      </w:pPr>
      <w:r>
        <w:t>(C) energy;</w:t>
      </w:r>
    </w:p>
    <w:p w14:paraId="38342255" w14:textId="77777777" w:rsidR="00E67337" w:rsidRDefault="00E67337" w:rsidP="00E67337">
      <w:pPr>
        <w:pStyle w:val="FSCnMain"/>
        <w:tabs>
          <w:tab w:val="clear" w:pos="1701"/>
          <w:tab w:val="left" w:pos="2268"/>
        </w:tabs>
        <w:ind w:left="3402" w:hanging="567"/>
      </w:pPr>
      <w:r>
        <w:t>(D) minerals;</w:t>
      </w:r>
    </w:p>
    <w:p w14:paraId="4315F6F0" w14:textId="77777777" w:rsidR="00E67337" w:rsidRDefault="00E67337" w:rsidP="00E67337">
      <w:pPr>
        <w:pStyle w:val="FSCnMain"/>
        <w:tabs>
          <w:tab w:val="clear" w:pos="1701"/>
          <w:tab w:val="left" w:pos="2268"/>
        </w:tabs>
        <w:ind w:left="3402" w:hanging="567"/>
      </w:pPr>
      <w:r>
        <w:t>(E) potassium;</w:t>
      </w:r>
    </w:p>
    <w:p w14:paraId="3CAF29C8" w14:textId="77777777" w:rsidR="00E67337" w:rsidRDefault="00E67337" w:rsidP="00E67337">
      <w:pPr>
        <w:pStyle w:val="FSCnMain"/>
        <w:tabs>
          <w:tab w:val="clear" w:pos="1701"/>
          <w:tab w:val="left" w:pos="2268"/>
        </w:tabs>
        <w:ind w:left="3402" w:hanging="567"/>
      </w:pPr>
      <w:r>
        <w:t>(F) protein;</w:t>
      </w:r>
    </w:p>
    <w:p w14:paraId="26E2BA45" w14:textId="77777777" w:rsidR="00E67337" w:rsidRDefault="00E67337" w:rsidP="00E67337">
      <w:pPr>
        <w:pStyle w:val="FSCnMain"/>
        <w:tabs>
          <w:tab w:val="clear" w:pos="1701"/>
          <w:tab w:val="left" w:pos="2268"/>
        </w:tabs>
        <w:ind w:left="3402" w:hanging="567"/>
      </w:pPr>
      <w:r>
        <w:t>(G) *carbohydrate;</w:t>
      </w:r>
    </w:p>
    <w:p w14:paraId="6310B006" w14:textId="77777777" w:rsidR="00E67337" w:rsidRDefault="00E67337" w:rsidP="00E67337">
      <w:pPr>
        <w:pStyle w:val="FSCnMain"/>
        <w:tabs>
          <w:tab w:val="clear" w:pos="1701"/>
          <w:tab w:val="left" w:pos="2268"/>
        </w:tabs>
        <w:ind w:left="3402" w:hanging="567"/>
      </w:pPr>
      <w:r>
        <w:t>(H) ‘fat’;</w:t>
      </w:r>
    </w:p>
    <w:p w14:paraId="123DB08C" w14:textId="77777777" w:rsidR="00E67337" w:rsidRDefault="00E67337" w:rsidP="00E67337">
      <w:pPr>
        <w:pStyle w:val="FSCnMain"/>
        <w:tabs>
          <w:tab w:val="clear" w:pos="1701"/>
          <w:tab w:val="left" w:pos="2268"/>
        </w:tabs>
        <w:ind w:left="3402" w:hanging="567"/>
      </w:pPr>
      <w:r>
        <w:t>(I) the components of any one of protein, carbohydrate or ’fat’;</w:t>
      </w:r>
    </w:p>
    <w:p w14:paraId="63AAA095" w14:textId="77777777" w:rsidR="00E67337" w:rsidRDefault="00E67337" w:rsidP="00E67337">
      <w:pPr>
        <w:pStyle w:val="FSCnMain"/>
        <w:tabs>
          <w:tab w:val="clear" w:pos="1701"/>
          <w:tab w:val="left" w:pos="2268"/>
        </w:tabs>
        <w:ind w:left="3402" w:hanging="567"/>
      </w:pPr>
      <w:r>
        <w:t>(J) *salt;</w:t>
      </w:r>
    </w:p>
    <w:p w14:paraId="23DF5709" w14:textId="77777777" w:rsidR="00E67337" w:rsidRDefault="00E67337" w:rsidP="00E67337">
      <w:pPr>
        <w:pStyle w:val="FSCnMain"/>
        <w:tabs>
          <w:tab w:val="clear" w:pos="1701"/>
          <w:tab w:val="left" w:pos="2268"/>
        </w:tabs>
        <w:ind w:left="3402" w:hanging="567"/>
      </w:pPr>
      <w:r>
        <w:t>(K) sodium;</w:t>
      </w:r>
    </w:p>
    <w:p w14:paraId="4A1AC51E" w14:textId="77777777" w:rsidR="00E67337" w:rsidRDefault="00E67337" w:rsidP="00E67337">
      <w:pPr>
        <w:pStyle w:val="FSCnMain"/>
        <w:tabs>
          <w:tab w:val="clear" w:pos="1701"/>
          <w:tab w:val="left" w:pos="2268"/>
        </w:tabs>
        <w:ind w:left="3402" w:hanging="567"/>
      </w:pPr>
      <w:r>
        <w:t>(L) vitamins; or</w:t>
      </w:r>
    </w:p>
    <w:p w14:paraId="0008E95E" w14:textId="77777777" w:rsidR="00E67337" w:rsidRDefault="00E67337" w:rsidP="00E67337">
      <w:pPr>
        <w:pStyle w:val="FSCnMain"/>
        <w:tabs>
          <w:tab w:val="clear" w:pos="1701"/>
          <w:tab w:val="left" w:pos="1985"/>
        </w:tabs>
        <w:ind w:left="3402" w:hanging="992"/>
      </w:pPr>
      <w:r>
        <w:t xml:space="preserve">    (ii) *glycaemic index or glycaemic load; and</w:t>
      </w:r>
    </w:p>
    <w:p w14:paraId="70ED69FA" w14:textId="77777777" w:rsidR="00E67337" w:rsidRDefault="00E67337" w:rsidP="00E67337">
      <w:pPr>
        <w:pStyle w:val="FSCnMain"/>
        <w:tabs>
          <w:tab w:val="clear" w:pos="1701"/>
          <w:tab w:val="left" w:pos="1985"/>
        </w:tabs>
        <w:ind w:firstLine="0"/>
      </w:pPr>
      <w:r>
        <w:t>(b)   does not refer to the presence or absence of alcohol; and</w:t>
      </w:r>
    </w:p>
    <w:p w14:paraId="5F0789D1" w14:textId="77777777" w:rsidR="00E67337" w:rsidRDefault="00E67337" w:rsidP="00E67337">
      <w:pPr>
        <w:pStyle w:val="FSCnMain"/>
        <w:tabs>
          <w:tab w:val="clear" w:pos="1701"/>
          <w:tab w:val="left" w:pos="1985"/>
        </w:tabs>
        <w:ind w:left="3402" w:hanging="1134"/>
      </w:pPr>
      <w:r>
        <w:t>(c)   is not a *health claim.</w:t>
      </w:r>
    </w:p>
    <w:p w14:paraId="3F3EF111" w14:textId="77777777" w:rsidR="00E67337" w:rsidRPr="00BE0966" w:rsidRDefault="00E67337" w:rsidP="00E67337">
      <w:pPr>
        <w:pStyle w:val="FSCnMain"/>
        <w:ind w:hanging="566"/>
      </w:pPr>
      <w:r>
        <w:rPr>
          <w:b/>
          <w:i/>
        </w:rPr>
        <w:tab/>
      </w:r>
      <w:r w:rsidRPr="006D3FC0">
        <w:rPr>
          <w:b/>
          <w:bCs/>
          <w:i/>
          <w:iCs/>
          <w:color w:val="000000"/>
          <w:sz w:val="12"/>
          <w:szCs w:val="12"/>
          <w:lang w:eastAsia="en-GB"/>
        </w:rPr>
        <w:t>Note</w:t>
      </w:r>
      <w:r>
        <w:rPr>
          <w:b/>
          <w:bCs/>
          <w:i/>
          <w:iCs/>
          <w:color w:val="000000"/>
          <w:sz w:val="12"/>
          <w:szCs w:val="12"/>
          <w:lang w:eastAsia="en-GB"/>
        </w:rPr>
        <w:tab/>
      </w:r>
      <w:r w:rsidRPr="006D3FC0">
        <w:rPr>
          <w:bCs/>
          <w:iCs/>
          <w:color w:val="000000"/>
          <w:sz w:val="12"/>
          <w:szCs w:val="12"/>
          <w:lang w:eastAsia="en-GB"/>
        </w:rPr>
        <w:t>See also subsections 2.6.2—5(4) and 2.10.2—8(3).</w:t>
      </w:r>
    </w:p>
    <w:p w14:paraId="6CB2E05B" w14:textId="77777777" w:rsidR="00E67337" w:rsidRDefault="00E67337" w:rsidP="00E67337">
      <w:pPr>
        <w:pStyle w:val="FSCh4Div"/>
      </w:pPr>
      <w:r>
        <w:lastRenderedPageBreak/>
        <w:t>Division 2</w:t>
      </w:r>
      <w:r>
        <w:tab/>
        <w:t>Packaged water</w:t>
      </w:r>
    </w:p>
    <w:p w14:paraId="2555F254" w14:textId="77777777" w:rsidR="00E67337" w:rsidRDefault="00E67337" w:rsidP="00E67337">
      <w:pPr>
        <w:pStyle w:val="FSCDraftingitem"/>
      </w:pPr>
      <w:r>
        <w:t>[3.3]</w:t>
      </w:r>
      <w:r>
        <w:tab/>
        <w:t>inserting after section 2.6.2—5</w:t>
      </w:r>
    </w:p>
    <w:p w14:paraId="6D3E5050" w14:textId="77777777" w:rsidR="00E67337" w:rsidRDefault="00E67337" w:rsidP="00E67337">
      <w:pPr>
        <w:pStyle w:val="FSCh4Div"/>
      </w:pPr>
      <w:r>
        <w:t>Division 3</w:t>
      </w:r>
      <w:r>
        <w:tab/>
        <w:t>Non-alcoholic beverages and brewed soft drinks</w:t>
      </w:r>
    </w:p>
    <w:p w14:paraId="0A9BF810" w14:textId="77777777" w:rsidR="00E67337" w:rsidRDefault="00E67337" w:rsidP="00E67337">
      <w:pPr>
        <w:pStyle w:val="FSCDraftingitem"/>
      </w:pPr>
      <w:r>
        <w:t>[3.4]</w:t>
      </w:r>
      <w:r>
        <w:tab/>
        <w:t>omitting sections 2.6.2—9</w:t>
      </w:r>
      <w:r w:rsidRPr="00C27985">
        <w:t xml:space="preserve"> </w:t>
      </w:r>
      <w:r>
        <w:t>to 2.6.2—13 inclusive, substituting</w:t>
      </w:r>
    </w:p>
    <w:p w14:paraId="1C883FFA" w14:textId="77777777" w:rsidR="00E67337" w:rsidRDefault="00E67337" w:rsidP="00E67337">
      <w:pPr>
        <w:pStyle w:val="FSCh5Section"/>
      </w:pPr>
      <w:r>
        <w:t>2.6.2—9</w:t>
      </w:r>
      <w:r>
        <w:tab/>
        <w:t xml:space="preserve">Requirement for food sold as a formulated beverage </w:t>
      </w:r>
    </w:p>
    <w:p w14:paraId="320B1C35" w14:textId="77777777" w:rsidR="00E67337" w:rsidRDefault="00E67337" w:rsidP="00E67337">
      <w:pPr>
        <w:pStyle w:val="FSCtMain"/>
      </w:pPr>
      <w:r>
        <w:tab/>
      </w:r>
      <w:r>
        <w:tab/>
        <w:t>A food sold as a formulated beverage must be a formulated beverage.</w:t>
      </w:r>
    </w:p>
    <w:p w14:paraId="6F45F48B" w14:textId="77777777" w:rsidR="00E67337" w:rsidRDefault="00E67337" w:rsidP="00E67337">
      <w:pPr>
        <w:pStyle w:val="FSCh4Div"/>
      </w:pPr>
      <w:r>
        <w:t>Division 4</w:t>
      </w:r>
      <w:r>
        <w:tab/>
        <w:t>Electrolyte drinks and electrolyte drink bases</w:t>
      </w:r>
    </w:p>
    <w:p w14:paraId="69C369C9" w14:textId="77777777" w:rsidR="00E67337" w:rsidRDefault="00E67337" w:rsidP="00E67337">
      <w:pPr>
        <w:pStyle w:val="FSCh5Section"/>
      </w:pPr>
      <w:r>
        <w:t>2.6.2—10</w:t>
      </w:r>
      <w:r>
        <w:tab/>
        <w:t>Definitions and interpretation</w:t>
      </w:r>
    </w:p>
    <w:p w14:paraId="08BE3670" w14:textId="77777777" w:rsidR="00E67337" w:rsidRPr="00797A71" w:rsidRDefault="00E67337" w:rsidP="00E67337">
      <w:pPr>
        <w:pStyle w:val="FSCtMain"/>
        <w:rPr>
          <w:i/>
        </w:rPr>
      </w:pPr>
      <w:r w:rsidRPr="00797A71">
        <w:rPr>
          <w:i/>
        </w:rPr>
        <w:tab/>
      </w:r>
      <w:r w:rsidRPr="00797A71">
        <w:rPr>
          <w:i/>
        </w:rPr>
        <w:tab/>
        <w:t>Definitions</w:t>
      </w:r>
    </w:p>
    <w:p w14:paraId="043B282E" w14:textId="77777777" w:rsidR="00E67337" w:rsidRDefault="00E67337" w:rsidP="00E67337">
      <w:pPr>
        <w:pStyle w:val="FSCtMain"/>
      </w:pPr>
      <w:r>
        <w:tab/>
        <w:t>(1)</w:t>
      </w:r>
      <w:r>
        <w:tab/>
        <w:t>In this Division:</w:t>
      </w:r>
    </w:p>
    <w:p w14:paraId="6C8116BE" w14:textId="77777777" w:rsidR="00E67337" w:rsidRDefault="00E67337" w:rsidP="00E67337">
      <w:pPr>
        <w:pStyle w:val="FSCtMain"/>
      </w:pPr>
      <w:r>
        <w:tab/>
      </w:r>
      <w:r>
        <w:tab/>
      </w:r>
      <w:r>
        <w:rPr>
          <w:b/>
          <w:i/>
        </w:rPr>
        <w:t>Prescribed</w:t>
      </w:r>
      <w:r w:rsidRPr="0031025D">
        <w:rPr>
          <w:b/>
          <w:i/>
        </w:rPr>
        <w:t xml:space="preserve"> </w:t>
      </w:r>
      <w:r>
        <w:rPr>
          <w:b/>
          <w:i/>
        </w:rPr>
        <w:t>electrolyte</w:t>
      </w:r>
      <w:r>
        <w:t xml:space="preserve"> means any of the following:</w:t>
      </w:r>
    </w:p>
    <w:p w14:paraId="2F527368" w14:textId="77777777" w:rsidR="00E67337" w:rsidRPr="001A2FA4" w:rsidRDefault="00E67337" w:rsidP="00E67337">
      <w:pPr>
        <w:pStyle w:val="FSCtPara"/>
      </w:pPr>
      <w:r>
        <w:rPr>
          <w:szCs w:val="20"/>
        </w:rPr>
        <w:tab/>
      </w:r>
      <w:r w:rsidRPr="0088644B">
        <w:t>(a)</w:t>
      </w:r>
      <w:r w:rsidRPr="0088644B">
        <w:tab/>
      </w:r>
      <w:r w:rsidRPr="001A2FA4">
        <w:t xml:space="preserve">sodium; </w:t>
      </w:r>
    </w:p>
    <w:p w14:paraId="09222457" w14:textId="77777777" w:rsidR="00E67337" w:rsidRPr="001A2FA4" w:rsidRDefault="00E67337" w:rsidP="00E67337">
      <w:pPr>
        <w:pStyle w:val="FSCtPara"/>
      </w:pPr>
      <w:r w:rsidRPr="001A2FA4">
        <w:tab/>
        <w:t>(b)</w:t>
      </w:r>
      <w:r w:rsidRPr="001A2FA4">
        <w:tab/>
        <w:t xml:space="preserve">potassium; </w:t>
      </w:r>
    </w:p>
    <w:p w14:paraId="7DD8E2FC" w14:textId="77777777" w:rsidR="00E67337" w:rsidRPr="001A2FA4" w:rsidRDefault="00E67337" w:rsidP="00E67337">
      <w:pPr>
        <w:pStyle w:val="FSCtPara"/>
      </w:pPr>
      <w:r w:rsidRPr="001A2FA4">
        <w:tab/>
        <w:t>(c)</w:t>
      </w:r>
      <w:r w:rsidRPr="001A2FA4">
        <w:tab/>
        <w:t>calcium;</w:t>
      </w:r>
    </w:p>
    <w:p w14:paraId="0488E565" w14:textId="77777777" w:rsidR="00E67337" w:rsidRPr="001A2FA4" w:rsidRDefault="00E67337" w:rsidP="00E67337">
      <w:pPr>
        <w:pStyle w:val="FSCtPara"/>
      </w:pPr>
      <w:r w:rsidRPr="001A2FA4">
        <w:tab/>
        <w:t>(d)</w:t>
      </w:r>
      <w:r w:rsidRPr="001A2FA4">
        <w:tab/>
        <w:t xml:space="preserve">magnesium; </w:t>
      </w:r>
    </w:p>
    <w:p w14:paraId="12D5134F" w14:textId="77777777" w:rsidR="00E67337" w:rsidRPr="001A2FA4" w:rsidRDefault="00E67337" w:rsidP="00E67337">
      <w:pPr>
        <w:pStyle w:val="FSCtPara"/>
      </w:pPr>
      <w:r w:rsidRPr="001A2FA4">
        <w:tab/>
        <w:t>(e)</w:t>
      </w:r>
      <w:r w:rsidRPr="001A2FA4">
        <w:tab/>
        <w:t>chloride.</w:t>
      </w:r>
    </w:p>
    <w:p w14:paraId="13527958" w14:textId="77777777" w:rsidR="00E67337" w:rsidRPr="00E4598C" w:rsidRDefault="00E67337" w:rsidP="00E67337">
      <w:pPr>
        <w:pStyle w:val="FSCtMain"/>
        <w:rPr>
          <w:i/>
        </w:rPr>
      </w:pPr>
      <w:r w:rsidRPr="00797A71">
        <w:rPr>
          <w:i/>
        </w:rPr>
        <w:tab/>
      </w:r>
      <w:r w:rsidRPr="00797A71">
        <w:rPr>
          <w:i/>
        </w:rPr>
        <w:tab/>
        <w:t>Interpretation of compositional and declaration requirements</w:t>
      </w:r>
    </w:p>
    <w:p w14:paraId="5E05EEEC" w14:textId="77777777" w:rsidR="00E67337" w:rsidRPr="00E4598C" w:rsidRDefault="00E67337" w:rsidP="00E67337">
      <w:pPr>
        <w:pStyle w:val="FSCtMain"/>
      </w:pPr>
      <w:r w:rsidRPr="00E4598C">
        <w:tab/>
        <w:t>(2)</w:t>
      </w:r>
      <w:r w:rsidRPr="00E4598C">
        <w:tab/>
      </w:r>
      <w:r w:rsidRPr="00E4598C">
        <w:rPr>
          <w:szCs w:val="20"/>
        </w:rPr>
        <w:t>For an electrolyte drink base, the compositional and declaration requirements in this Division apply to an electrolyte drink base as ready to drink</w:t>
      </w:r>
      <w:r w:rsidRPr="00E4598C">
        <w:t>.</w:t>
      </w:r>
    </w:p>
    <w:p w14:paraId="24ABB84A" w14:textId="77777777" w:rsidR="00E67337" w:rsidRPr="001D1563" w:rsidRDefault="00E67337" w:rsidP="00E67337">
      <w:pPr>
        <w:pStyle w:val="FSCh5Section"/>
      </w:pPr>
      <w:r>
        <w:t>2.6.2—11</w:t>
      </w:r>
      <w:r w:rsidRPr="001D1563">
        <w:tab/>
      </w:r>
      <w:r>
        <w:t>Composition of</w:t>
      </w:r>
      <w:r w:rsidRPr="001D1563">
        <w:t xml:space="preserve"> electrolyte drink or electrolyte drink base</w:t>
      </w:r>
    </w:p>
    <w:p w14:paraId="6AC9BF94" w14:textId="77777777" w:rsidR="00E67337" w:rsidRPr="001D1563" w:rsidRDefault="00E67337" w:rsidP="00E67337">
      <w:pPr>
        <w:pStyle w:val="FSCtMain"/>
      </w:pPr>
      <w:r>
        <w:tab/>
        <w:t>(1)</w:t>
      </w:r>
      <w:r>
        <w:tab/>
      </w:r>
      <w:r w:rsidRPr="001D1563">
        <w:t>A food that is sold as an electrolyte drink or an electrolyte drink base must</w:t>
      </w:r>
      <w:r>
        <w:t xml:space="preserve"> </w:t>
      </w:r>
      <w:r w:rsidRPr="001D1563">
        <w:t>be an electrolyte drink or an electrolyte drink base, as appropriate</w:t>
      </w:r>
      <w:r>
        <w:t>.</w:t>
      </w:r>
    </w:p>
    <w:p w14:paraId="58C782A8" w14:textId="77777777" w:rsidR="00E67337" w:rsidRPr="001D1563" w:rsidRDefault="00E67337" w:rsidP="00E67337">
      <w:pPr>
        <w:pStyle w:val="FSCtMain"/>
      </w:pPr>
      <w:r>
        <w:tab/>
        <w:t>(2)</w:t>
      </w:r>
      <w:r>
        <w:tab/>
        <w:t>An</w:t>
      </w:r>
      <w:r w:rsidRPr="001D1563">
        <w:t xml:space="preserve"> electrolyte drink or electrolyte drink base </w:t>
      </w:r>
      <w:r>
        <w:t xml:space="preserve">must </w:t>
      </w:r>
      <w:r w:rsidRPr="001D1563">
        <w:t>contain:</w:t>
      </w:r>
    </w:p>
    <w:p w14:paraId="78EC4477" w14:textId="77777777" w:rsidR="00E67337" w:rsidRPr="001D1563" w:rsidRDefault="00E67337" w:rsidP="00E67337">
      <w:pPr>
        <w:pStyle w:val="FSCtPara"/>
      </w:pPr>
      <w:r>
        <w:tab/>
        <w:t>(a</w:t>
      </w:r>
      <w:r w:rsidRPr="001D1563">
        <w:t>)</w:t>
      </w:r>
      <w:r w:rsidRPr="001D1563">
        <w:tab/>
        <w:t>no less than 10 mmol/L of sodium; and</w:t>
      </w:r>
    </w:p>
    <w:p w14:paraId="1B0B767A" w14:textId="77777777" w:rsidR="00E67337" w:rsidRPr="001D1563" w:rsidRDefault="00E67337" w:rsidP="00E67337">
      <w:pPr>
        <w:pStyle w:val="FSCtPara"/>
      </w:pPr>
      <w:r>
        <w:tab/>
        <w:t>(b</w:t>
      </w:r>
      <w:r w:rsidRPr="001D1563">
        <w:t>)</w:t>
      </w:r>
      <w:r w:rsidRPr="001D1563">
        <w:tab/>
        <w:t xml:space="preserve">no less than </w:t>
      </w:r>
      <w:r>
        <w:t>20</w:t>
      </w:r>
      <w:r w:rsidRPr="001D1563">
        <w:t xml:space="preserve"> g/L and no more than 100 g/L in total of the following:</w:t>
      </w:r>
    </w:p>
    <w:p w14:paraId="21CCF9DE" w14:textId="77777777" w:rsidR="00E67337" w:rsidRPr="001D1563" w:rsidRDefault="00E67337" w:rsidP="00E67337">
      <w:pPr>
        <w:pStyle w:val="FSCtSubsub"/>
        <w:tabs>
          <w:tab w:val="clear" w:pos="2835"/>
          <w:tab w:val="left" w:pos="2268"/>
        </w:tabs>
        <w:ind w:left="2835" w:hanging="2835"/>
      </w:pPr>
      <w:r>
        <w:tab/>
        <w:t>(i</w:t>
      </w:r>
      <w:r w:rsidRPr="001D1563">
        <w:t>)</w:t>
      </w:r>
      <w:r w:rsidRPr="001D1563">
        <w:tab/>
        <w:t>dextrose;</w:t>
      </w:r>
    </w:p>
    <w:p w14:paraId="4F9A816E" w14:textId="77777777" w:rsidR="00E67337" w:rsidRPr="001D1563" w:rsidRDefault="00E67337" w:rsidP="00E67337">
      <w:pPr>
        <w:pStyle w:val="FSCtSubsub"/>
        <w:tabs>
          <w:tab w:val="clear" w:pos="2835"/>
          <w:tab w:val="left" w:pos="2268"/>
        </w:tabs>
        <w:ind w:left="2835" w:hanging="2835"/>
      </w:pPr>
      <w:r>
        <w:tab/>
        <w:t>(ii</w:t>
      </w:r>
      <w:r w:rsidRPr="001D1563">
        <w:t>)</w:t>
      </w:r>
      <w:r w:rsidRPr="001D1563">
        <w:tab/>
        <w:t>fructose;</w:t>
      </w:r>
    </w:p>
    <w:p w14:paraId="7564333F" w14:textId="77777777" w:rsidR="00E67337" w:rsidRPr="001D1563" w:rsidRDefault="00E67337" w:rsidP="00E67337">
      <w:pPr>
        <w:pStyle w:val="FSCtSubsub"/>
        <w:tabs>
          <w:tab w:val="clear" w:pos="2835"/>
          <w:tab w:val="left" w:pos="2268"/>
        </w:tabs>
        <w:ind w:left="2835" w:hanging="2835"/>
      </w:pPr>
      <w:r>
        <w:tab/>
        <w:t>(iii</w:t>
      </w:r>
      <w:r w:rsidRPr="001D1563">
        <w:t>)</w:t>
      </w:r>
      <w:r w:rsidRPr="001D1563">
        <w:tab/>
        <w:t>glucose syrup;</w:t>
      </w:r>
    </w:p>
    <w:p w14:paraId="200EF35F" w14:textId="77777777" w:rsidR="00E67337" w:rsidRPr="001D1563" w:rsidRDefault="00E67337" w:rsidP="00E67337">
      <w:pPr>
        <w:pStyle w:val="FSCtSubsub"/>
        <w:tabs>
          <w:tab w:val="clear" w:pos="2835"/>
          <w:tab w:val="left" w:pos="2268"/>
        </w:tabs>
        <w:ind w:left="2835" w:hanging="2835"/>
      </w:pPr>
      <w:r>
        <w:tab/>
        <w:t>(iv</w:t>
      </w:r>
      <w:r w:rsidRPr="001D1563">
        <w:t>)</w:t>
      </w:r>
      <w:r w:rsidRPr="001D1563">
        <w:tab/>
        <w:t>maltodextrin;</w:t>
      </w:r>
    </w:p>
    <w:p w14:paraId="789B442C" w14:textId="77777777" w:rsidR="00E67337" w:rsidRPr="001D1563" w:rsidRDefault="00E67337" w:rsidP="00E67337">
      <w:pPr>
        <w:pStyle w:val="FSCtSubsub"/>
        <w:tabs>
          <w:tab w:val="clear" w:pos="2835"/>
          <w:tab w:val="left" w:pos="2268"/>
        </w:tabs>
        <w:ind w:left="2835" w:hanging="2835"/>
      </w:pPr>
      <w:r>
        <w:tab/>
        <w:t>(v</w:t>
      </w:r>
      <w:r w:rsidRPr="001D1563">
        <w:t>)</w:t>
      </w:r>
      <w:r w:rsidRPr="001D1563">
        <w:tab/>
        <w:t>sucrose; and</w:t>
      </w:r>
    </w:p>
    <w:p w14:paraId="779342D1" w14:textId="77777777" w:rsidR="00E67337" w:rsidRPr="001D1563" w:rsidRDefault="00E67337" w:rsidP="00E67337">
      <w:pPr>
        <w:pStyle w:val="FSCtPara"/>
      </w:pPr>
      <w:r>
        <w:tab/>
        <w:t>(c</w:t>
      </w:r>
      <w:r w:rsidRPr="001D1563">
        <w:t>)</w:t>
      </w:r>
      <w:r w:rsidRPr="001D1563">
        <w:tab/>
        <w:t xml:space="preserve">no more than </w:t>
      </w:r>
      <w:r>
        <w:t>50% of total carbohydrate as fructose</w:t>
      </w:r>
      <w:r w:rsidRPr="001D1563">
        <w:t>.</w:t>
      </w:r>
    </w:p>
    <w:p w14:paraId="67774F6C" w14:textId="77777777" w:rsidR="00E67337" w:rsidRPr="001D1563" w:rsidRDefault="00E67337" w:rsidP="00E67337">
      <w:pPr>
        <w:pStyle w:val="FSCtMain"/>
      </w:pPr>
      <w:r>
        <w:tab/>
        <w:t>(3)</w:t>
      </w:r>
      <w:r>
        <w:tab/>
        <w:t>An</w:t>
      </w:r>
      <w:r w:rsidRPr="001D1563">
        <w:t xml:space="preserve"> electrolyte drink or electrolyte drink base </w:t>
      </w:r>
      <w:r>
        <w:t xml:space="preserve">may </w:t>
      </w:r>
      <w:r w:rsidRPr="001D1563">
        <w:t>contain:</w:t>
      </w:r>
    </w:p>
    <w:p w14:paraId="672EDA0B" w14:textId="77777777" w:rsidR="00E67337" w:rsidRPr="001D1563" w:rsidRDefault="00E67337" w:rsidP="00E67337">
      <w:pPr>
        <w:pStyle w:val="FSCtPara"/>
      </w:pPr>
      <w:r w:rsidRPr="001D1563">
        <w:tab/>
        <w:t>(a)</w:t>
      </w:r>
      <w:r w:rsidRPr="001D1563">
        <w:tab/>
        <w:t>calcium phosphates;</w:t>
      </w:r>
    </w:p>
    <w:p w14:paraId="0B6FC2D9" w14:textId="77777777" w:rsidR="00E67337" w:rsidRPr="001D1563" w:rsidRDefault="00E67337" w:rsidP="00E67337">
      <w:pPr>
        <w:pStyle w:val="FSCtPara"/>
      </w:pPr>
      <w:r w:rsidRPr="001D1563">
        <w:tab/>
        <w:t>(b)</w:t>
      </w:r>
      <w:r w:rsidRPr="001D1563">
        <w:tab/>
        <w:t>potassium phosphates;</w:t>
      </w:r>
    </w:p>
    <w:p w14:paraId="5992B30E" w14:textId="77777777" w:rsidR="00E67337" w:rsidRPr="001D1563" w:rsidRDefault="00E67337" w:rsidP="00E67337">
      <w:pPr>
        <w:pStyle w:val="FSCtPara"/>
      </w:pPr>
      <w:r w:rsidRPr="001D1563">
        <w:tab/>
        <w:t>(c)</w:t>
      </w:r>
      <w:r w:rsidRPr="001D1563">
        <w:tab/>
        <w:t>calcium citrates;</w:t>
      </w:r>
    </w:p>
    <w:p w14:paraId="6BEC1113" w14:textId="77777777" w:rsidR="00E67337" w:rsidRPr="001D1563" w:rsidRDefault="00E67337" w:rsidP="00E67337">
      <w:pPr>
        <w:pStyle w:val="FSCtPara"/>
      </w:pPr>
      <w:r w:rsidRPr="001D1563">
        <w:tab/>
        <w:t>(d)</w:t>
      </w:r>
      <w:r w:rsidRPr="001D1563">
        <w:tab/>
        <w:t>potassium citrates;</w:t>
      </w:r>
    </w:p>
    <w:p w14:paraId="5A5802CE" w14:textId="77777777" w:rsidR="00E67337" w:rsidRPr="001D1563" w:rsidRDefault="00E67337" w:rsidP="00E67337">
      <w:pPr>
        <w:pStyle w:val="FSCtPara"/>
      </w:pPr>
      <w:r w:rsidRPr="001D1563">
        <w:tab/>
        <w:t>(e)</w:t>
      </w:r>
      <w:r w:rsidRPr="001D1563">
        <w:tab/>
        <w:t>sodium citrates;</w:t>
      </w:r>
    </w:p>
    <w:p w14:paraId="7D70913E" w14:textId="77777777" w:rsidR="00E67337" w:rsidRPr="001D1563" w:rsidRDefault="00E67337" w:rsidP="00E67337">
      <w:pPr>
        <w:pStyle w:val="FSCtPara"/>
      </w:pPr>
      <w:r w:rsidRPr="001D1563">
        <w:tab/>
        <w:t>(f)</w:t>
      </w:r>
      <w:r w:rsidRPr="001D1563">
        <w:tab/>
        <w:t>potassium carbonates, including potassium bicarbonate;</w:t>
      </w:r>
    </w:p>
    <w:p w14:paraId="6280F3C1" w14:textId="77777777" w:rsidR="00E67337" w:rsidRPr="001D1563" w:rsidRDefault="00E67337" w:rsidP="00E67337">
      <w:pPr>
        <w:pStyle w:val="FSCtPara"/>
      </w:pPr>
      <w:r w:rsidRPr="001D1563">
        <w:tab/>
        <w:t>(g)</w:t>
      </w:r>
      <w:r w:rsidRPr="001D1563">
        <w:tab/>
        <w:t>potassium chloride;</w:t>
      </w:r>
    </w:p>
    <w:p w14:paraId="08141340" w14:textId="77777777" w:rsidR="00E67337" w:rsidRPr="001D1563" w:rsidRDefault="00E67337" w:rsidP="00E67337">
      <w:pPr>
        <w:pStyle w:val="FSCtPara"/>
      </w:pPr>
      <w:r w:rsidRPr="001D1563">
        <w:tab/>
        <w:t>(h)</w:t>
      </w:r>
      <w:r w:rsidRPr="001D1563">
        <w:tab/>
        <w:t>calcium chloride;</w:t>
      </w:r>
    </w:p>
    <w:p w14:paraId="05333374" w14:textId="77777777" w:rsidR="00E67337" w:rsidRPr="001D1563" w:rsidRDefault="00E67337" w:rsidP="00E67337">
      <w:pPr>
        <w:pStyle w:val="FSCtPara"/>
      </w:pPr>
      <w:r w:rsidRPr="001D1563">
        <w:tab/>
        <w:t>(i)</w:t>
      </w:r>
      <w:r w:rsidRPr="001D1563">
        <w:tab/>
        <w:t>sodium chloride;</w:t>
      </w:r>
    </w:p>
    <w:p w14:paraId="18499B45" w14:textId="77777777" w:rsidR="00E67337" w:rsidRPr="001D1563" w:rsidRDefault="00E67337" w:rsidP="00E67337">
      <w:pPr>
        <w:pStyle w:val="FSCtPara"/>
      </w:pPr>
      <w:r w:rsidRPr="001D1563">
        <w:lastRenderedPageBreak/>
        <w:tab/>
        <w:t>(j)</w:t>
      </w:r>
      <w:r w:rsidRPr="001D1563">
        <w:tab/>
        <w:t>calcium lactate;</w:t>
      </w:r>
    </w:p>
    <w:p w14:paraId="5AD66D66" w14:textId="77777777" w:rsidR="00E67337" w:rsidRPr="001D1563" w:rsidRDefault="00E67337" w:rsidP="00E67337">
      <w:pPr>
        <w:pStyle w:val="FSCtPara"/>
      </w:pPr>
      <w:r w:rsidRPr="001D1563">
        <w:tab/>
        <w:t>(k)</w:t>
      </w:r>
      <w:r w:rsidRPr="001D1563">
        <w:tab/>
        <w:t>magnesium lactate;</w:t>
      </w:r>
    </w:p>
    <w:p w14:paraId="6F2FB8E5" w14:textId="77777777" w:rsidR="00E67337" w:rsidRPr="001D1563" w:rsidRDefault="00E67337" w:rsidP="00E67337">
      <w:pPr>
        <w:pStyle w:val="FSCtPara"/>
      </w:pPr>
      <w:r w:rsidRPr="001D1563">
        <w:tab/>
        <w:t>(l)</w:t>
      </w:r>
      <w:r w:rsidRPr="001D1563">
        <w:tab/>
        <w:t>magnesium sulphate.</w:t>
      </w:r>
    </w:p>
    <w:p w14:paraId="14D5170A" w14:textId="77777777" w:rsidR="00E67337" w:rsidRPr="001D1563" w:rsidRDefault="00E67337" w:rsidP="00E67337">
      <w:pPr>
        <w:pStyle w:val="FSCh5Section"/>
      </w:pPr>
      <w:r>
        <w:t>2.6.2—12</w:t>
      </w:r>
      <w:r w:rsidRPr="001D1563">
        <w:tab/>
        <w:t>Labelling of electrolyte drinks and electrolyte drink bases</w:t>
      </w:r>
    </w:p>
    <w:p w14:paraId="4DE19933" w14:textId="77777777" w:rsidR="00E67337" w:rsidRDefault="00E67337" w:rsidP="00E67337">
      <w:pPr>
        <w:pStyle w:val="FSCtMain"/>
      </w:pPr>
      <w:r w:rsidRPr="001D1563">
        <w:tab/>
        <w:t>(1)</w:t>
      </w:r>
      <w:r w:rsidRPr="001D1563">
        <w:tab/>
      </w:r>
      <w:r w:rsidRPr="0013132B">
        <w:rPr>
          <w:szCs w:val="20"/>
        </w:rPr>
        <w:t xml:space="preserve">‘Electrolyte drink’ is a *prescribed name for an electrolyte drink and </w:t>
      </w:r>
      <w:r>
        <w:rPr>
          <w:szCs w:val="20"/>
        </w:rPr>
        <w:t xml:space="preserve">an </w:t>
      </w:r>
      <w:r w:rsidRPr="0013132B">
        <w:rPr>
          <w:szCs w:val="20"/>
        </w:rPr>
        <w:t>electrolyte drink base</w:t>
      </w:r>
      <w:r>
        <w:t>.</w:t>
      </w:r>
    </w:p>
    <w:p w14:paraId="62BF06B4" w14:textId="77777777" w:rsidR="00E67337" w:rsidRDefault="00E67337" w:rsidP="00E67337">
      <w:pPr>
        <w:pStyle w:val="FSCtMain"/>
        <w:spacing w:before="60" w:after="60"/>
      </w:pPr>
      <w:r>
        <w:tab/>
        <w:t>(2)</w:t>
      </w:r>
      <w:r>
        <w:tab/>
      </w:r>
      <w:r w:rsidRPr="00E22CB5">
        <w:t xml:space="preserve">For the labelling provisions, </w:t>
      </w:r>
      <w:r w:rsidRPr="00A972E0">
        <w:t>the following information is required</w:t>
      </w:r>
      <w:r w:rsidRPr="00E22CB5">
        <w:t>:</w:t>
      </w:r>
    </w:p>
    <w:p w14:paraId="557104AD" w14:textId="77777777" w:rsidR="00E67337" w:rsidRPr="00AF33DB" w:rsidRDefault="00E67337" w:rsidP="00E67337">
      <w:pPr>
        <w:pStyle w:val="FSCtPara"/>
      </w:pPr>
      <w:r>
        <w:tab/>
        <w:t>(a)</w:t>
      </w:r>
      <w:r>
        <w:tab/>
      </w:r>
      <w:r w:rsidRPr="001D1563">
        <w:t xml:space="preserve">the recommended volume and </w:t>
      </w:r>
      <w:r w:rsidRPr="00AF33DB">
        <w:t>frequency of use; and</w:t>
      </w:r>
    </w:p>
    <w:p w14:paraId="6BCD4027" w14:textId="77777777" w:rsidR="00E67337" w:rsidRPr="00AF33DB" w:rsidRDefault="00E67337" w:rsidP="00E67337">
      <w:pPr>
        <w:pStyle w:val="FSCtPara"/>
      </w:pPr>
      <w:r w:rsidRPr="00AF33DB">
        <w:tab/>
        <w:t>(b)</w:t>
      </w:r>
      <w:r w:rsidRPr="00AF33DB">
        <w:tab/>
        <w:t>the nutrition information panel must also</w:t>
      </w:r>
      <w:r w:rsidRPr="00AF33DB">
        <w:rPr>
          <w:color w:val="FF0000"/>
        </w:rPr>
        <w:t xml:space="preserve"> </w:t>
      </w:r>
      <w:r w:rsidRPr="00AF33DB">
        <w:t xml:space="preserve">declare </w:t>
      </w:r>
      <w:r w:rsidRPr="00AF33DB">
        <w:rPr>
          <w:szCs w:val="20"/>
        </w:rPr>
        <w:t>the *average quantity per serving and per *unit quantity of</w:t>
      </w:r>
      <w:r w:rsidRPr="00AF33DB">
        <w:t>:</w:t>
      </w:r>
    </w:p>
    <w:p w14:paraId="3C231A2B" w14:textId="77777777" w:rsidR="00E67337" w:rsidRDefault="00E67337" w:rsidP="00E67337">
      <w:pPr>
        <w:pStyle w:val="FSCtSubpara"/>
        <w:rPr>
          <w:szCs w:val="20"/>
        </w:rPr>
      </w:pPr>
      <w:r w:rsidRPr="00AF33DB">
        <w:rPr>
          <w:szCs w:val="20"/>
        </w:rPr>
        <w:tab/>
        <w:t>(i)</w:t>
      </w:r>
      <w:r w:rsidRPr="00AF33DB">
        <w:rPr>
          <w:szCs w:val="20"/>
        </w:rPr>
        <w:tab/>
        <w:t>each type of monosaccharide present; and</w:t>
      </w:r>
    </w:p>
    <w:p w14:paraId="29AFC328" w14:textId="77777777" w:rsidR="00E67337" w:rsidRPr="00833CB5" w:rsidRDefault="00E67337" w:rsidP="00E67337">
      <w:pPr>
        <w:pStyle w:val="FSCtSubpara"/>
        <w:rPr>
          <w:szCs w:val="20"/>
        </w:rPr>
      </w:pPr>
      <w:r>
        <w:rPr>
          <w:szCs w:val="20"/>
        </w:rPr>
        <w:tab/>
        <w:t>(ii)</w:t>
      </w:r>
      <w:r>
        <w:rPr>
          <w:szCs w:val="20"/>
        </w:rPr>
        <w:tab/>
      </w:r>
      <w:r w:rsidRPr="009F65B0">
        <w:rPr>
          <w:szCs w:val="20"/>
        </w:rPr>
        <w:t>each type</w:t>
      </w:r>
      <w:r w:rsidRPr="00833CB5">
        <w:rPr>
          <w:szCs w:val="20"/>
        </w:rPr>
        <w:t xml:space="preserve"> of disaccharide present; and</w:t>
      </w:r>
    </w:p>
    <w:p w14:paraId="56DE9FB6" w14:textId="77777777" w:rsidR="00E67337" w:rsidRPr="00AF33DB" w:rsidRDefault="00E67337" w:rsidP="00E67337">
      <w:pPr>
        <w:pStyle w:val="FSCtSubpara"/>
        <w:spacing w:after="120"/>
        <w:rPr>
          <w:sz w:val="16"/>
          <w:szCs w:val="16"/>
        </w:rPr>
      </w:pPr>
      <w:r>
        <w:rPr>
          <w:szCs w:val="20"/>
        </w:rPr>
        <w:tab/>
      </w:r>
      <w:r w:rsidRPr="00AF33DB">
        <w:rPr>
          <w:szCs w:val="20"/>
        </w:rPr>
        <w:t>(iii)</w:t>
      </w:r>
      <w:r w:rsidRPr="00AF33DB">
        <w:rPr>
          <w:szCs w:val="20"/>
        </w:rPr>
        <w:tab/>
      </w:r>
      <w:r w:rsidRPr="003F2676">
        <w:rPr>
          <w:szCs w:val="20"/>
        </w:rPr>
        <w:t>subject to subsection (3), each prescribed electrolyte present</w:t>
      </w:r>
      <w:r>
        <w:rPr>
          <w:szCs w:val="20"/>
        </w:rPr>
        <w:t xml:space="preserve"> </w:t>
      </w:r>
      <w:r w:rsidRPr="004C7BCE">
        <w:rPr>
          <w:color w:val="000000" w:themeColor="text1"/>
        </w:rPr>
        <w:t>(other than sodium)</w:t>
      </w:r>
      <w:r w:rsidRPr="003F2676">
        <w:rPr>
          <w:szCs w:val="20"/>
        </w:rPr>
        <w:t>, expressed in milligrams or both milligrams and millimoles</w:t>
      </w:r>
      <w:r w:rsidRPr="00AF33DB">
        <w:rPr>
          <w:szCs w:val="20"/>
        </w:rPr>
        <w:t>.</w:t>
      </w:r>
    </w:p>
    <w:p w14:paraId="35A1DC37" w14:textId="77777777" w:rsidR="00E67337" w:rsidRPr="00AF33DB" w:rsidRDefault="00E67337" w:rsidP="00E67337">
      <w:pPr>
        <w:pStyle w:val="FSCnPara"/>
      </w:pPr>
      <w:r w:rsidRPr="00AF33DB">
        <w:tab/>
      </w:r>
      <w:r w:rsidRPr="00AF33DB">
        <w:rPr>
          <w:b/>
          <w:i/>
        </w:rPr>
        <w:t>Note 1:</w:t>
      </w:r>
      <w:r>
        <w:tab/>
      </w:r>
      <w:r>
        <w:tab/>
        <w:t xml:space="preserve"> </w:t>
      </w:r>
      <w:r w:rsidRPr="00AF33DB">
        <w:t>The labelling provisions are set out in Standard 1.2.1.</w:t>
      </w:r>
    </w:p>
    <w:p w14:paraId="1D89EE51" w14:textId="77777777" w:rsidR="00E67337" w:rsidRPr="003F2676" w:rsidRDefault="00E67337" w:rsidP="00E67337">
      <w:pPr>
        <w:pStyle w:val="FSCnPara"/>
      </w:pPr>
      <w:r w:rsidRPr="00AF33DB">
        <w:rPr>
          <w:b/>
          <w:i/>
          <w:szCs w:val="16"/>
        </w:rPr>
        <w:tab/>
        <w:t>Note 2:</w:t>
      </w:r>
      <w:r w:rsidRPr="00AF33DB">
        <w:rPr>
          <w:szCs w:val="16"/>
        </w:rPr>
        <w:t xml:space="preserve"> Section 1.2.8—5 provides that packaged food (unless exempted) must include a nutrition information panel (NIP). Standard 1.2.8 also contains other requirements relating to NIPs e.g. what information must be included and how to express that </w:t>
      </w:r>
      <w:r w:rsidRPr="003F2676">
        <w:rPr>
          <w:szCs w:val="16"/>
        </w:rPr>
        <w:t xml:space="preserve">information in a NIP (see sections 1.2.8—6 and 1.2.8—7). </w:t>
      </w:r>
      <w:r w:rsidRPr="003F2676">
        <w:t>The requirements set out in paragraph 2.6.2—12(2)(b) are in addition to those other requirements.</w:t>
      </w:r>
    </w:p>
    <w:p w14:paraId="4F886614" w14:textId="77777777" w:rsidR="00E67337" w:rsidRPr="003F2676" w:rsidRDefault="00E67337" w:rsidP="00E67337">
      <w:pPr>
        <w:pStyle w:val="FSCnPara"/>
        <w:spacing w:after="120"/>
      </w:pPr>
      <w:r>
        <w:tab/>
      </w:r>
      <w:r w:rsidRPr="00041960">
        <w:rPr>
          <w:b/>
          <w:i/>
        </w:rPr>
        <w:t>Note 3</w:t>
      </w:r>
      <w:r w:rsidRPr="00041960">
        <w:t>: Subparagraph 1.2.8—6(1)(d)(iii) requires that a nutrition information panel must contain (among other information) the average quantity of sodium, expressed in milligrams or both milligrams and millimoles for a serving of the food and a unit quantity of the food.</w:t>
      </w:r>
    </w:p>
    <w:p w14:paraId="3EC0E023" w14:textId="77777777" w:rsidR="00E67337" w:rsidRPr="003F2676" w:rsidRDefault="00E67337" w:rsidP="00E67337">
      <w:pPr>
        <w:pStyle w:val="FSCtMain"/>
        <w:spacing w:before="60" w:after="60"/>
      </w:pPr>
      <w:r w:rsidRPr="003F2676">
        <w:tab/>
        <w:t>(3)</w:t>
      </w:r>
      <w:r w:rsidRPr="003F2676">
        <w:tab/>
        <w:t xml:space="preserve">Subparagraph 2.6.2—12(2)(b)(iii) applies only in relation to an </w:t>
      </w:r>
      <w:r w:rsidRPr="003F2676">
        <w:rPr>
          <w:szCs w:val="20"/>
        </w:rPr>
        <w:t xml:space="preserve">electrolyte drink or an electrolyte drink base to which a substance listed in subsection </w:t>
      </w:r>
      <w:r w:rsidRPr="003F2676">
        <w:t>2.6.2—11(3) has been added.</w:t>
      </w:r>
    </w:p>
    <w:p w14:paraId="08637483" w14:textId="77777777" w:rsidR="00E67337" w:rsidRPr="00E4598C" w:rsidRDefault="00E67337" w:rsidP="00E67337">
      <w:pPr>
        <w:pStyle w:val="FSCh5Section"/>
      </w:pPr>
      <w:r w:rsidRPr="003F2676">
        <w:t>2.6.2—13</w:t>
      </w:r>
      <w:r w:rsidRPr="003F2676">
        <w:tab/>
        <w:t xml:space="preserve">Labelling requirement for electrolyte drinks </w:t>
      </w:r>
      <w:r w:rsidRPr="00E4598C">
        <w:t>and electrolyte drink bases in small packages</w:t>
      </w:r>
    </w:p>
    <w:p w14:paraId="6A79783D" w14:textId="77777777" w:rsidR="00E67337" w:rsidRPr="00E4598C" w:rsidRDefault="00E67337" w:rsidP="00E67337">
      <w:pPr>
        <w:pStyle w:val="FSCtMain"/>
      </w:pPr>
      <w:r w:rsidRPr="00E4598C">
        <w:tab/>
        <w:t>(1)</w:t>
      </w:r>
      <w:r w:rsidRPr="00E4598C">
        <w:tab/>
        <w:t xml:space="preserve">This section applies to an electrolyte drink or electrolyte drink base: </w:t>
      </w:r>
    </w:p>
    <w:p w14:paraId="5106B445" w14:textId="77777777" w:rsidR="00E67337" w:rsidRPr="00E4598C" w:rsidRDefault="00E67337" w:rsidP="00E67337">
      <w:pPr>
        <w:pStyle w:val="FSCtPara"/>
        <w:ind w:left="1701" w:hanging="1701"/>
      </w:pPr>
      <w:r w:rsidRPr="00E4598C">
        <w:tab/>
      </w:r>
      <w:r w:rsidRPr="00E4598C">
        <w:tab/>
        <w:t>(a)</w:t>
      </w:r>
      <w:r w:rsidRPr="00E4598C">
        <w:tab/>
        <w:t>that is in a *small package; and</w:t>
      </w:r>
    </w:p>
    <w:p w14:paraId="093E9B6E" w14:textId="77777777" w:rsidR="00E67337" w:rsidRPr="00E4598C" w:rsidRDefault="00E67337" w:rsidP="00E67337">
      <w:pPr>
        <w:pStyle w:val="FSCtPara"/>
        <w:ind w:left="1701" w:hanging="1701"/>
      </w:pPr>
      <w:r w:rsidRPr="00E4598C">
        <w:tab/>
      </w:r>
      <w:r w:rsidRPr="00E4598C">
        <w:tab/>
        <w:t>(b)</w:t>
      </w:r>
      <w:r w:rsidRPr="00E4598C">
        <w:tab/>
        <w:t>about which a *claim requiring nutrition information is made; and</w:t>
      </w:r>
    </w:p>
    <w:p w14:paraId="41DD6EB4" w14:textId="77777777" w:rsidR="00E67337" w:rsidRPr="00E4598C" w:rsidRDefault="00E67337" w:rsidP="00E67337">
      <w:pPr>
        <w:pStyle w:val="FSCtPara"/>
        <w:ind w:left="1701" w:hanging="1701"/>
      </w:pPr>
      <w:r w:rsidRPr="00E4598C">
        <w:tab/>
      </w:r>
      <w:r w:rsidRPr="00E4598C">
        <w:tab/>
        <w:t>(c)</w:t>
      </w:r>
      <w:r w:rsidRPr="00E4598C">
        <w:tab/>
        <w:t>the claim relates to a prescribed electrolyte.</w:t>
      </w:r>
    </w:p>
    <w:p w14:paraId="66ECBB84" w14:textId="77777777" w:rsidR="00E67337" w:rsidRPr="00E4598C" w:rsidRDefault="00E67337" w:rsidP="00E67337">
      <w:pPr>
        <w:pStyle w:val="FSCtMain"/>
        <w:rPr>
          <w:szCs w:val="20"/>
        </w:rPr>
      </w:pPr>
      <w:r w:rsidRPr="00E4598C">
        <w:tab/>
        <w:t>(2)</w:t>
      </w:r>
      <w:r w:rsidRPr="00E4598C">
        <w:tab/>
        <w:t>For the labelling provisions, the required information includes the</w:t>
      </w:r>
      <w:r w:rsidRPr="00E4598C">
        <w:rPr>
          <w:szCs w:val="20"/>
        </w:rPr>
        <w:t xml:space="preserve"> *average quantity per serving of each prescribed electrolyte present, expressed in milligrams or both milligrams and millimoles.</w:t>
      </w:r>
    </w:p>
    <w:p w14:paraId="22E2A5C6" w14:textId="77777777" w:rsidR="00E67337" w:rsidRPr="00E4598C" w:rsidRDefault="00E67337" w:rsidP="00E67337">
      <w:pPr>
        <w:pStyle w:val="FSCnMain"/>
        <w:tabs>
          <w:tab w:val="left" w:pos="2552"/>
        </w:tabs>
      </w:pPr>
      <w:r w:rsidRPr="00E4598C">
        <w:tab/>
      </w:r>
      <w:r w:rsidRPr="00E4598C">
        <w:rPr>
          <w:b/>
          <w:i/>
        </w:rPr>
        <w:t>Note 1:</w:t>
      </w:r>
      <w:r w:rsidRPr="00E4598C">
        <w:t xml:space="preserve"> </w:t>
      </w:r>
      <w:r w:rsidRPr="00E4598C">
        <w:tab/>
      </w:r>
      <w:r w:rsidRPr="00E4598C">
        <w:rPr>
          <w:szCs w:val="16"/>
        </w:rPr>
        <w:t>The labelling provisions are set out in Standard 1.2.1</w:t>
      </w:r>
      <w:r w:rsidRPr="00E4598C">
        <w:t>.</w:t>
      </w:r>
    </w:p>
    <w:p w14:paraId="6BFE6934" w14:textId="77777777" w:rsidR="00E67337" w:rsidRPr="00E4598C" w:rsidRDefault="00E67337" w:rsidP="00E67337">
      <w:pPr>
        <w:pStyle w:val="FSCnMain"/>
        <w:spacing w:after="120"/>
        <w:ind w:left="2552"/>
      </w:pPr>
      <w:r w:rsidRPr="00E4598C">
        <w:rPr>
          <w:b/>
          <w:i/>
        </w:rPr>
        <w:tab/>
        <w:t>Note 2:</w:t>
      </w:r>
      <w:r w:rsidRPr="00E4598C">
        <w:tab/>
        <w:t>The requirements of this subsection are in addition to the requirements set out in section 1.2.8—14. Section 1.2.8—14 sets out requirements for food for sale in a small package where a claim requiring nutrition information is made in relation to the food.</w:t>
      </w:r>
    </w:p>
    <w:p w14:paraId="1A16ECA6" w14:textId="77777777" w:rsidR="00E67337" w:rsidRPr="00E4598C" w:rsidRDefault="00E67337" w:rsidP="00E67337">
      <w:pPr>
        <w:pStyle w:val="FSCtMain"/>
      </w:pPr>
      <w:r w:rsidRPr="00E4598C">
        <w:rPr>
          <w:szCs w:val="20"/>
        </w:rPr>
        <w:tab/>
        <w:t>(3)</w:t>
      </w:r>
      <w:r w:rsidRPr="00E4598C">
        <w:rPr>
          <w:szCs w:val="20"/>
        </w:rPr>
        <w:tab/>
        <w:t xml:space="preserve">Paragraph </w:t>
      </w:r>
      <w:r w:rsidRPr="00E4598C">
        <w:t xml:space="preserve">1.2.8—14(1)(b) does not apply to a </w:t>
      </w:r>
      <w:r>
        <w:t>*</w:t>
      </w:r>
      <w:r w:rsidRPr="00E4598C">
        <w:t>claim requiring nutrition information that is made about a prescribed electrolyte.</w:t>
      </w:r>
    </w:p>
    <w:p w14:paraId="7C816069" w14:textId="77777777" w:rsidR="00E67337" w:rsidRPr="00E4598C" w:rsidRDefault="00E67337" w:rsidP="00E67337">
      <w:pPr>
        <w:pStyle w:val="FSCnMain"/>
      </w:pPr>
      <w:r w:rsidRPr="00E4598C">
        <w:tab/>
      </w:r>
      <w:r w:rsidRPr="00E4598C">
        <w:rPr>
          <w:b/>
          <w:i/>
        </w:rPr>
        <w:t>Note:</w:t>
      </w:r>
      <w:r w:rsidRPr="00E4598C">
        <w:t xml:space="preserve"> </w:t>
      </w:r>
      <w:r w:rsidRPr="00E4598C">
        <w:tab/>
      </w:r>
      <w:r w:rsidRPr="00E4598C">
        <w:rPr>
          <w:szCs w:val="20"/>
        </w:rPr>
        <w:t xml:space="preserve">Paragraph </w:t>
      </w:r>
      <w:r w:rsidRPr="00E4598C">
        <w:t xml:space="preserve">1.2.8—14(1)(b) sets out nutrition information requirements for food for sale in a small package where a claim requiring nutrition information is made about a matter listed in Column 1 of the table to section S13—2 (such as sodium or a mineral with </w:t>
      </w:r>
      <w:r>
        <w:t xml:space="preserve">a </w:t>
      </w:r>
      <w:r w:rsidRPr="00BE716A">
        <w:t>Recommended Dietary Intake (RDI)</w:t>
      </w:r>
      <w:r w:rsidRPr="00E4598C">
        <w:t>).</w:t>
      </w:r>
    </w:p>
    <w:p w14:paraId="0A5CA09F" w14:textId="77777777" w:rsidR="00E67337" w:rsidRPr="00E4598C" w:rsidRDefault="00E67337" w:rsidP="00E67337">
      <w:pPr>
        <w:pStyle w:val="FSCh5Section"/>
      </w:pPr>
      <w:r w:rsidRPr="00E4598C">
        <w:t>2.6.2—14</w:t>
      </w:r>
      <w:r w:rsidRPr="00E4598C">
        <w:tab/>
      </w:r>
      <w:r w:rsidRPr="00E4598C">
        <w:rPr>
          <w:bCs w:val="0"/>
          <w:szCs w:val="22"/>
        </w:rPr>
        <w:t>Recommended dietary intake information prohibited</w:t>
      </w:r>
    </w:p>
    <w:p w14:paraId="1E8AACA2" w14:textId="77777777" w:rsidR="00E67337" w:rsidRPr="00BE716A" w:rsidRDefault="00E67337" w:rsidP="00E67337">
      <w:pPr>
        <w:pStyle w:val="FSCtMain"/>
        <w:rPr>
          <w:szCs w:val="20"/>
          <w:lang w:bidi="en-US"/>
        </w:rPr>
      </w:pPr>
      <w:r w:rsidRPr="00E4598C">
        <w:rPr>
          <w:lang w:bidi="en-US"/>
        </w:rPr>
        <w:t xml:space="preserve"> </w:t>
      </w:r>
      <w:r w:rsidRPr="00E4598C">
        <w:rPr>
          <w:lang w:bidi="en-US"/>
        </w:rPr>
        <w:tab/>
        <w:t>(1)</w:t>
      </w:r>
      <w:r w:rsidRPr="00E4598C">
        <w:rPr>
          <w:lang w:bidi="en-US"/>
        </w:rPr>
        <w:tab/>
      </w:r>
      <w:r w:rsidRPr="00E4598C">
        <w:rPr>
          <w:lang w:bidi="en-US"/>
        </w:rPr>
        <w:tab/>
      </w:r>
      <w:r w:rsidRPr="00E4598C">
        <w:rPr>
          <w:szCs w:val="20"/>
        </w:rPr>
        <w:t xml:space="preserve">An *RDI </w:t>
      </w:r>
      <w:r w:rsidRPr="00E4598C">
        <w:rPr>
          <w:lang w:bidi="en-US"/>
        </w:rPr>
        <w:t xml:space="preserve">must not be stated or declared in relation to </w:t>
      </w:r>
      <w:r w:rsidRPr="00E4598C">
        <w:t xml:space="preserve">an electrolyte drink or </w:t>
      </w:r>
      <w:r w:rsidRPr="00BE716A">
        <w:t>electrolyte drink base</w:t>
      </w:r>
      <w:r>
        <w:t>.</w:t>
      </w:r>
    </w:p>
    <w:p w14:paraId="490D9785" w14:textId="77777777" w:rsidR="00E67337" w:rsidRPr="00BE716A" w:rsidRDefault="00E67337" w:rsidP="00E67337">
      <w:pPr>
        <w:pStyle w:val="FSCtMain"/>
        <w:rPr>
          <w:lang w:bidi="en-US"/>
        </w:rPr>
      </w:pPr>
      <w:r>
        <w:rPr>
          <w:lang w:bidi="en-US"/>
        </w:rPr>
        <w:tab/>
      </w:r>
      <w:r w:rsidRPr="00BE716A">
        <w:rPr>
          <w:lang w:bidi="en-US"/>
        </w:rPr>
        <w:t>(2)</w:t>
      </w:r>
      <w:r w:rsidRPr="00BE716A">
        <w:rPr>
          <w:lang w:bidi="en-US"/>
        </w:rPr>
        <w:tab/>
      </w:r>
      <w:r w:rsidRPr="00BE716A">
        <w:t>Section 1.2.8—9 does not apply to an electrolyte drink or electrolyte drink base</w:t>
      </w:r>
      <w:r w:rsidRPr="00BE716A">
        <w:rPr>
          <w:lang w:bidi="en-US"/>
        </w:rPr>
        <w:t>.</w:t>
      </w:r>
    </w:p>
    <w:p w14:paraId="297AACE6" w14:textId="77777777" w:rsidR="00E67337" w:rsidRPr="00326C66" w:rsidRDefault="00E67337" w:rsidP="00E67337">
      <w:pPr>
        <w:pStyle w:val="FSCnMain"/>
      </w:pPr>
      <w:r w:rsidRPr="00BE716A">
        <w:tab/>
      </w:r>
      <w:r w:rsidRPr="00BE716A">
        <w:rPr>
          <w:b/>
          <w:i/>
        </w:rPr>
        <w:t>Note:</w:t>
      </w:r>
      <w:r w:rsidRPr="00BE716A">
        <w:t xml:space="preserve"> </w:t>
      </w:r>
      <w:r w:rsidRPr="00BE716A">
        <w:tab/>
        <w:t>Section 1.2.8—9 relates to minerals with a</w:t>
      </w:r>
      <w:r>
        <w:t>n</w:t>
      </w:r>
      <w:r w:rsidRPr="00BE716A">
        <w:t xml:space="preserve"> RDI (among other things). Some of the </w:t>
      </w:r>
      <w:r w:rsidRPr="00E4598C">
        <w:t xml:space="preserve">substances </w:t>
      </w:r>
      <w:r w:rsidRPr="00E4598C">
        <w:lastRenderedPageBreak/>
        <w:t xml:space="preserve">listed as ‘prescribed electrolytes’ in section </w:t>
      </w:r>
      <w:r w:rsidRPr="00BE716A">
        <w:t xml:space="preserve">2.6.2—10 are also minerals with an RDI for the purposes of </w:t>
      </w:r>
      <w:r>
        <w:t>s</w:t>
      </w:r>
      <w:r w:rsidRPr="00B12983">
        <w:t xml:space="preserve">ection 1.2.8—9 </w:t>
      </w:r>
      <w:r>
        <w:t xml:space="preserve">e.g. calcium and magnesium </w:t>
      </w:r>
      <w:r w:rsidRPr="00BE716A">
        <w:t xml:space="preserve">(see </w:t>
      </w:r>
      <w:r>
        <w:t xml:space="preserve">also </w:t>
      </w:r>
      <w:r w:rsidRPr="00BE716A">
        <w:t>the table to section S1—3).</w:t>
      </w:r>
    </w:p>
    <w:p w14:paraId="6247B664" w14:textId="77777777" w:rsidR="00E67337" w:rsidRPr="00E4598C" w:rsidRDefault="00E67337" w:rsidP="00E67337">
      <w:pPr>
        <w:pStyle w:val="FSCh5Section"/>
      </w:pPr>
      <w:r>
        <w:t>2</w:t>
      </w:r>
      <w:r w:rsidRPr="0029526B">
        <w:t>.</w:t>
      </w:r>
      <w:r w:rsidRPr="00E4598C">
        <w:t>6.2—15</w:t>
      </w:r>
      <w:r w:rsidRPr="00E4598C">
        <w:tab/>
        <w:t>Nutrition content claims about electrolyte drinks and electrolyte drink bases</w:t>
      </w:r>
    </w:p>
    <w:p w14:paraId="742CF510" w14:textId="77777777" w:rsidR="00E67337" w:rsidRPr="00E4598C" w:rsidRDefault="00E67337" w:rsidP="00E67337">
      <w:pPr>
        <w:pStyle w:val="FSCtMain"/>
        <w:tabs>
          <w:tab w:val="clear" w:pos="1134"/>
          <w:tab w:val="left" w:pos="851"/>
        </w:tabs>
        <w:ind w:hanging="850"/>
      </w:pPr>
      <w:r>
        <w:t>(1)</w:t>
      </w:r>
      <w:r>
        <w:tab/>
        <w:t xml:space="preserve">A </w:t>
      </w:r>
      <w:r w:rsidRPr="00E4598C">
        <w:t>nutrition content claim must not be made about an electrolyte drink or electrolyte drink base unless:</w:t>
      </w:r>
    </w:p>
    <w:p w14:paraId="7BC265BD" w14:textId="77777777" w:rsidR="00E67337" w:rsidRPr="00E4598C" w:rsidRDefault="00E67337" w:rsidP="00E67337">
      <w:pPr>
        <w:pStyle w:val="FSCtPara"/>
      </w:pPr>
      <w:r w:rsidRPr="00E4598C">
        <w:tab/>
        <w:t>(a)</w:t>
      </w:r>
      <w:r w:rsidRPr="00E4598C">
        <w:tab/>
        <w:t>subject to paragraph (2)(b), the claim is made in accordance with Division 4 of Standard 1.2.7; and</w:t>
      </w:r>
    </w:p>
    <w:p w14:paraId="6BC5F879" w14:textId="77777777" w:rsidR="00E67337" w:rsidRPr="00E4598C" w:rsidRDefault="00E67337" w:rsidP="00E67337">
      <w:pPr>
        <w:pStyle w:val="FSCtPara"/>
      </w:pPr>
      <w:r w:rsidRPr="00E4598C">
        <w:tab/>
        <w:t>(b)</w:t>
      </w:r>
      <w:r w:rsidRPr="00E4598C">
        <w:tab/>
        <w:t>the claim is about any of the following:</w:t>
      </w:r>
    </w:p>
    <w:p w14:paraId="24DA1AB1" w14:textId="77777777" w:rsidR="00E67337" w:rsidRPr="00E4598C" w:rsidRDefault="00E67337" w:rsidP="00E67337">
      <w:pPr>
        <w:pStyle w:val="FSCtSubpara"/>
      </w:pPr>
      <w:r w:rsidRPr="00E4598C">
        <w:tab/>
        <w:t xml:space="preserve">(i) </w:t>
      </w:r>
      <w:r w:rsidRPr="00E4598C">
        <w:tab/>
        <w:t>sugar or sugars; or</w:t>
      </w:r>
    </w:p>
    <w:p w14:paraId="5E3EBEF5" w14:textId="77777777" w:rsidR="00E67337" w:rsidRPr="00E4598C" w:rsidRDefault="00E67337" w:rsidP="00E67337">
      <w:pPr>
        <w:pStyle w:val="FSCtSubpara"/>
      </w:pPr>
      <w:r w:rsidRPr="00E4598C">
        <w:tab/>
        <w:t>(ii)</w:t>
      </w:r>
      <w:r w:rsidRPr="00E4598C">
        <w:tab/>
        <w:t>carbohydrate; or</w:t>
      </w:r>
    </w:p>
    <w:p w14:paraId="2830A1DC" w14:textId="77777777" w:rsidR="00E67337" w:rsidRPr="00E4598C" w:rsidRDefault="00E67337" w:rsidP="00E67337">
      <w:pPr>
        <w:pStyle w:val="FSCtSubpara"/>
      </w:pPr>
      <w:r w:rsidRPr="00E4598C">
        <w:tab/>
        <w:t xml:space="preserve">(iii)    </w:t>
      </w:r>
      <w:r w:rsidRPr="00E4598C">
        <w:tab/>
        <w:t>energy; or</w:t>
      </w:r>
    </w:p>
    <w:p w14:paraId="6CBE3B21" w14:textId="77777777" w:rsidR="00E67337" w:rsidRPr="00E4598C" w:rsidRDefault="00E67337" w:rsidP="00E67337">
      <w:pPr>
        <w:pStyle w:val="FSCtSubpara"/>
      </w:pPr>
      <w:r w:rsidRPr="00E4598C">
        <w:tab/>
        <w:t>(iv)</w:t>
      </w:r>
      <w:r w:rsidRPr="00E4598C">
        <w:tab/>
        <w:t>the presence of one or more prescribed electrolytes.</w:t>
      </w:r>
    </w:p>
    <w:p w14:paraId="58EF4265" w14:textId="77777777" w:rsidR="00E67337" w:rsidRPr="00E4598C" w:rsidRDefault="00E67337" w:rsidP="00E67337">
      <w:pPr>
        <w:pStyle w:val="FSCtMain"/>
        <w:tabs>
          <w:tab w:val="clear" w:pos="1134"/>
          <w:tab w:val="left" w:pos="851"/>
        </w:tabs>
        <w:ind w:hanging="850"/>
      </w:pPr>
      <w:r>
        <w:t>(2)</w:t>
      </w:r>
      <w:r>
        <w:tab/>
        <w:t xml:space="preserve">If a </w:t>
      </w:r>
      <w:r w:rsidRPr="00E4598C">
        <w:t>nutrition content claim is made under subparagraph (1)(b)(iv):</w:t>
      </w:r>
    </w:p>
    <w:p w14:paraId="6DD2FBA0" w14:textId="77777777" w:rsidR="00E67337" w:rsidRPr="00E4598C" w:rsidRDefault="00E67337" w:rsidP="00E67337">
      <w:pPr>
        <w:pStyle w:val="FSCtPara"/>
        <w:tabs>
          <w:tab w:val="clear" w:pos="1701"/>
        </w:tabs>
        <w:ind w:hanging="567"/>
      </w:pPr>
      <w:r w:rsidRPr="00E4598C">
        <w:rPr>
          <w:rFonts w:eastAsia="Calibri"/>
        </w:rPr>
        <w:t>(a)</w:t>
      </w:r>
      <w:r w:rsidRPr="00E4598C">
        <w:rPr>
          <w:rFonts w:eastAsia="Calibri"/>
        </w:rPr>
        <w:tab/>
        <w:t xml:space="preserve">the claim </w:t>
      </w:r>
      <w:r w:rsidRPr="00E4598C">
        <w:t>must only state that the electrolyte drink or electrolyte drink base contains one or both of the following:</w:t>
      </w:r>
    </w:p>
    <w:p w14:paraId="520C0848" w14:textId="77777777" w:rsidR="00E67337" w:rsidRPr="00E4598C" w:rsidRDefault="00E67337" w:rsidP="00E67337">
      <w:pPr>
        <w:pStyle w:val="FSCtSubpara"/>
        <w:spacing w:after="120"/>
      </w:pPr>
      <w:r w:rsidRPr="00E4598C">
        <w:tab/>
        <w:t xml:space="preserve">(i) </w:t>
      </w:r>
      <w:r w:rsidRPr="00E4598C">
        <w:tab/>
        <w:t xml:space="preserve">electrolytes;  </w:t>
      </w:r>
    </w:p>
    <w:p w14:paraId="32A6A65F" w14:textId="77777777" w:rsidR="00E67337" w:rsidRPr="00E4598C" w:rsidRDefault="00E67337" w:rsidP="00E67337">
      <w:pPr>
        <w:pStyle w:val="FSCnPara"/>
        <w:ind w:left="2268" w:hanging="2268"/>
      </w:pPr>
      <w:r w:rsidRPr="00E4598C">
        <w:tab/>
      </w:r>
      <w:r w:rsidRPr="00E4598C">
        <w:rPr>
          <w:b/>
          <w:i/>
        </w:rPr>
        <w:t>Example:</w:t>
      </w:r>
      <w:r w:rsidRPr="00E4598C">
        <w:t xml:space="preserve"> Contains electrolytes.</w:t>
      </w:r>
    </w:p>
    <w:p w14:paraId="3E4959C9" w14:textId="77777777" w:rsidR="00E67337" w:rsidRPr="00E4598C" w:rsidRDefault="00E67337" w:rsidP="00E67337">
      <w:pPr>
        <w:pStyle w:val="FSCtSubpara"/>
        <w:spacing w:before="120" w:after="120"/>
      </w:pPr>
      <w:r w:rsidRPr="00E4598C">
        <w:tab/>
        <w:t>(ii)</w:t>
      </w:r>
      <w:r w:rsidRPr="00E4598C">
        <w:tab/>
        <w:t>a prescribed electrolyte that is present in the food, provided that the claim also states that the prescribed electrolyte is an electrolyte; and</w:t>
      </w:r>
    </w:p>
    <w:p w14:paraId="1F06549B" w14:textId="77777777" w:rsidR="00E67337" w:rsidRPr="00E4598C" w:rsidRDefault="00E67337" w:rsidP="00E67337">
      <w:pPr>
        <w:pStyle w:val="FSCnMain"/>
        <w:ind w:left="1701"/>
      </w:pPr>
      <w:r w:rsidRPr="00E4598C">
        <w:tab/>
      </w:r>
      <w:r>
        <w:tab/>
      </w:r>
      <w:r>
        <w:tab/>
      </w:r>
      <w:r w:rsidRPr="006E47B5">
        <w:rPr>
          <w:b/>
          <w:i/>
        </w:rPr>
        <w:t>Example:</w:t>
      </w:r>
      <w:r w:rsidRPr="00E4598C">
        <w:t xml:space="preserve"> This food contains the electrolytes: calcium and sodium.</w:t>
      </w:r>
    </w:p>
    <w:p w14:paraId="50E876F4" w14:textId="77777777" w:rsidR="00E67337" w:rsidRDefault="00E67337" w:rsidP="00E67337">
      <w:pPr>
        <w:pStyle w:val="FSCtPara"/>
        <w:tabs>
          <w:tab w:val="clear" w:pos="1701"/>
          <w:tab w:val="left" w:pos="2268"/>
        </w:tabs>
        <w:ind w:hanging="567"/>
        <w:rPr>
          <w:rFonts w:eastAsia="Calibri"/>
        </w:rPr>
      </w:pPr>
      <w:r w:rsidRPr="00E4598C">
        <w:rPr>
          <w:rFonts w:eastAsia="Calibri"/>
        </w:rPr>
        <w:t>(b)</w:t>
      </w:r>
      <w:r w:rsidRPr="00E4598C">
        <w:rPr>
          <w:rFonts w:eastAsia="Calibri"/>
        </w:rPr>
        <w:tab/>
        <w:t xml:space="preserve">any conditions for nutrition content claims in Standard 1.2.7 that relate to a prescribed electrolyte </w:t>
      </w:r>
      <w:r>
        <w:rPr>
          <w:rFonts w:eastAsia="Calibri"/>
        </w:rPr>
        <w:t xml:space="preserve">present </w:t>
      </w:r>
      <w:r w:rsidRPr="00F43152">
        <w:t>in the food</w:t>
      </w:r>
      <w:r w:rsidRPr="001273EE">
        <w:rPr>
          <w:rFonts w:eastAsia="Calibri"/>
        </w:rPr>
        <w:t xml:space="preserve"> do not apply to the nut</w:t>
      </w:r>
      <w:r>
        <w:rPr>
          <w:rFonts w:eastAsia="Calibri"/>
        </w:rPr>
        <w:t>rition content claim.</w:t>
      </w:r>
    </w:p>
    <w:p w14:paraId="012854C6" w14:textId="77777777" w:rsidR="00E67337" w:rsidRDefault="00E67337" w:rsidP="00E67337">
      <w:pPr>
        <w:pStyle w:val="FSCh5Section"/>
      </w:pPr>
      <w:r w:rsidRPr="0029526B">
        <w:t>2.6.2—</w:t>
      </w:r>
      <w:r>
        <w:t>16</w:t>
      </w:r>
      <w:r>
        <w:tab/>
        <w:t>Health c</w:t>
      </w:r>
      <w:r w:rsidRPr="007B3E68">
        <w:t>laim</w:t>
      </w:r>
      <w:r>
        <w:t>s</w:t>
      </w:r>
      <w:r w:rsidRPr="007B3E68">
        <w:t xml:space="preserve"> </w:t>
      </w:r>
      <w:r>
        <w:t>about electrolyte drinks and electrolyte drink bases</w:t>
      </w:r>
    </w:p>
    <w:p w14:paraId="0348D326" w14:textId="77777777" w:rsidR="00E67337" w:rsidRPr="00BF58D3" w:rsidRDefault="00E67337" w:rsidP="00E67337">
      <w:pPr>
        <w:pStyle w:val="FSCtMain"/>
        <w:tabs>
          <w:tab w:val="clear" w:pos="1134"/>
          <w:tab w:val="left" w:pos="709"/>
        </w:tabs>
        <w:ind w:hanging="850"/>
        <w:rPr>
          <w:sz w:val="18"/>
          <w:szCs w:val="18"/>
        </w:rPr>
      </w:pPr>
      <w:r>
        <w:t>(1)</w:t>
      </w:r>
      <w:r>
        <w:tab/>
        <w:t>Standard 1.2.7 does not apply to a *health claim made about an electrolyte drink or electrolyte drink base.</w:t>
      </w:r>
      <w:r w:rsidRPr="00BF58D3">
        <w:rPr>
          <w:sz w:val="18"/>
          <w:szCs w:val="18"/>
        </w:rPr>
        <w:tab/>
      </w:r>
    </w:p>
    <w:p w14:paraId="1BD91A85" w14:textId="77777777" w:rsidR="00E67337" w:rsidRDefault="00E67337" w:rsidP="00E67337">
      <w:pPr>
        <w:pStyle w:val="FSCtMain"/>
        <w:tabs>
          <w:tab w:val="clear" w:pos="1134"/>
          <w:tab w:val="left" w:pos="851"/>
        </w:tabs>
        <w:ind w:hanging="850"/>
      </w:pPr>
      <w:r w:rsidRPr="00BF58D3">
        <w:t>(2)</w:t>
      </w:r>
      <w:r>
        <w:rPr>
          <w:b/>
          <w:i/>
        </w:rPr>
        <w:tab/>
      </w:r>
      <w:r>
        <w:tab/>
        <w:t>A *health claim must not be made about an electrolyte drink or electrolyte drink base unless:</w:t>
      </w:r>
    </w:p>
    <w:p w14:paraId="72DB2AC1" w14:textId="77777777" w:rsidR="00E67337" w:rsidRDefault="00E67337" w:rsidP="00E67337">
      <w:pPr>
        <w:pStyle w:val="FSCtPara"/>
      </w:pPr>
      <w:r>
        <w:tab/>
        <w:t>(a)</w:t>
      </w:r>
      <w:r>
        <w:tab/>
        <w:t xml:space="preserve">the food </w:t>
      </w:r>
      <w:r w:rsidRPr="000C4833">
        <w:t>has an average osmolality of 2</w:t>
      </w:r>
      <w:r>
        <w:t>0</w:t>
      </w:r>
      <w:r w:rsidRPr="000C4833">
        <w:t>0–340 mOsmol/</w:t>
      </w:r>
      <w:r>
        <w:t>kg; and</w:t>
      </w:r>
    </w:p>
    <w:p w14:paraId="5D0415C6" w14:textId="77777777" w:rsidR="00E67337" w:rsidRDefault="00E67337" w:rsidP="00E67337">
      <w:pPr>
        <w:pStyle w:val="FSCtPara"/>
      </w:pPr>
      <w:r>
        <w:tab/>
        <w:t>(b)</w:t>
      </w:r>
      <w:r>
        <w:tab/>
        <w:t>the claim is about any of the following:</w:t>
      </w:r>
    </w:p>
    <w:p w14:paraId="00C4457E" w14:textId="77777777" w:rsidR="00E67337" w:rsidRDefault="00E67337" w:rsidP="00E67337">
      <w:pPr>
        <w:pStyle w:val="FSCtSubpara"/>
      </w:pPr>
      <w:r>
        <w:tab/>
        <w:t>(i)</w:t>
      </w:r>
      <w:r>
        <w:tab/>
      </w:r>
      <w:r w:rsidRPr="00D90E8D">
        <w:t>rapid rehydrat</w:t>
      </w:r>
      <w:r>
        <w:t>ion</w:t>
      </w:r>
      <w:r w:rsidRPr="00D90E8D">
        <w:t xml:space="preserve"> in association with </w:t>
      </w:r>
      <w:r>
        <w:t>words to the effect of ‘</w:t>
      </w:r>
      <w:r w:rsidRPr="00D90E8D">
        <w:t>after at least 60 minutes or more of strenuous physical activity</w:t>
      </w:r>
      <w:r>
        <w:t>’;</w:t>
      </w:r>
    </w:p>
    <w:p w14:paraId="04AAB038" w14:textId="77777777" w:rsidR="00E67337" w:rsidRDefault="00E67337" w:rsidP="00E67337">
      <w:pPr>
        <w:pStyle w:val="FSCtSubpara"/>
      </w:pPr>
      <w:r>
        <w:tab/>
        <w:t>(ii)</w:t>
      </w:r>
      <w:r>
        <w:tab/>
        <w:t>rapid</w:t>
      </w:r>
      <w:r w:rsidRPr="00D90E8D">
        <w:t xml:space="preserve"> hydrat</w:t>
      </w:r>
      <w:r>
        <w:t>ion</w:t>
      </w:r>
      <w:r w:rsidRPr="00D90E8D">
        <w:t xml:space="preserve"> in association with</w:t>
      </w:r>
      <w:r>
        <w:t xml:space="preserve"> words to the effect of ‘</w:t>
      </w:r>
      <w:r w:rsidRPr="00D90E8D">
        <w:t>during at least 60 minutes or more of strenuous physical activity</w:t>
      </w:r>
      <w:r>
        <w:t>’;</w:t>
      </w:r>
    </w:p>
    <w:p w14:paraId="233705BA" w14:textId="77777777" w:rsidR="00E67337" w:rsidRDefault="00E67337" w:rsidP="00E67337">
      <w:pPr>
        <w:pStyle w:val="FSCtSubpara"/>
      </w:pPr>
      <w:r>
        <w:tab/>
        <w:t>(iii)</w:t>
      </w:r>
      <w:r>
        <w:tab/>
      </w:r>
      <w:r w:rsidRPr="00D90E8D">
        <w:t>contribut</w:t>
      </w:r>
      <w:r>
        <w:t>ion</w:t>
      </w:r>
      <w:r w:rsidRPr="00D90E8D">
        <w:t xml:space="preserve"> to the maintenance of performance </w:t>
      </w:r>
      <w:r>
        <w:t xml:space="preserve">by </w:t>
      </w:r>
      <w:r w:rsidRPr="00D90E8D">
        <w:t xml:space="preserve">rapid hydration in association with </w:t>
      </w:r>
      <w:r>
        <w:t>words to the effect of ‘</w:t>
      </w:r>
      <w:r w:rsidRPr="00D90E8D">
        <w:t>during at least 60 minutes or more of strenuous physical activity</w:t>
      </w:r>
      <w:r>
        <w:t>’.</w:t>
      </w:r>
    </w:p>
    <w:p w14:paraId="10E36415" w14:textId="77777777" w:rsidR="00E67337" w:rsidRDefault="00E67337" w:rsidP="00E67337">
      <w:pPr>
        <w:pStyle w:val="FSCtMain"/>
        <w:tabs>
          <w:tab w:val="clear" w:pos="1134"/>
          <w:tab w:val="left" w:pos="709"/>
        </w:tabs>
        <w:ind w:hanging="850"/>
      </w:pPr>
      <w:r>
        <w:t xml:space="preserve"> (3)</w:t>
      </w:r>
      <w:r>
        <w:tab/>
        <w:t xml:space="preserve">In a *health claim made under subsection (2), the amount of time must be expressed only as a quantifiable </w:t>
      </w:r>
      <w:r w:rsidRPr="00056539">
        <w:t>amount</w:t>
      </w:r>
      <w:r>
        <w:t xml:space="preserve"> of time.</w:t>
      </w:r>
    </w:p>
    <w:p w14:paraId="7E8333F5" w14:textId="77777777" w:rsidR="00E67337" w:rsidRDefault="00E67337" w:rsidP="00E67337">
      <w:pPr>
        <w:pStyle w:val="FSCnMain"/>
        <w:ind w:left="1701"/>
      </w:pPr>
      <w:r>
        <w:tab/>
      </w:r>
      <w:r>
        <w:tab/>
      </w:r>
      <w:r w:rsidRPr="00917FEF">
        <w:rPr>
          <w:b/>
          <w:i/>
        </w:rPr>
        <w:t>Examples:</w:t>
      </w:r>
      <w:r>
        <w:t xml:space="preserve"> ’60 minutes’ or ’sixty minutes’; ‘1 hour’ or ‘one hour’.</w:t>
      </w:r>
    </w:p>
    <w:p w14:paraId="0A6D3AA7" w14:textId="77777777" w:rsidR="00E67337" w:rsidRDefault="00E67337" w:rsidP="00E67337">
      <w:pPr>
        <w:pStyle w:val="FSCtMain"/>
        <w:tabs>
          <w:tab w:val="clear" w:pos="1134"/>
          <w:tab w:val="left" w:pos="851"/>
        </w:tabs>
      </w:pPr>
      <w:r>
        <w:tab/>
        <w:t>(4)</w:t>
      </w:r>
      <w:r>
        <w:tab/>
      </w:r>
      <w:r>
        <w:tab/>
        <w:t>Subject to subsection (3), n</w:t>
      </w:r>
      <w:r w:rsidRPr="00E65557">
        <w:t xml:space="preserve">othing in this </w:t>
      </w:r>
      <w:r>
        <w:t xml:space="preserve">section </w:t>
      </w:r>
      <w:r w:rsidRPr="00E65557">
        <w:t xml:space="preserve">is to be taken to prescribe the words that must be used when making a </w:t>
      </w:r>
      <w:r>
        <w:t>*health claim under this section</w:t>
      </w:r>
      <w:r w:rsidRPr="00E65557">
        <w:t>.</w:t>
      </w:r>
    </w:p>
    <w:p w14:paraId="1B6FBF1C" w14:textId="77777777" w:rsidR="00E67337" w:rsidRDefault="00E67337" w:rsidP="00E67337">
      <w:pPr>
        <w:pStyle w:val="FSCnMain"/>
        <w:ind w:left="1701"/>
      </w:pPr>
      <w:r>
        <w:tab/>
      </w:r>
      <w:r w:rsidRPr="00BC67F6">
        <w:rPr>
          <w:b/>
          <w:i/>
        </w:rPr>
        <w:tab/>
        <w:t>Example:</w:t>
      </w:r>
      <w:r>
        <w:t xml:space="preserve"> </w:t>
      </w:r>
      <w:r w:rsidRPr="00E65557">
        <w:t>‘exercise’</w:t>
      </w:r>
      <w:r>
        <w:t xml:space="preserve"> instead of ‘physical activity’.</w:t>
      </w:r>
    </w:p>
    <w:p w14:paraId="29034F9E" w14:textId="77777777" w:rsidR="00E67337" w:rsidRDefault="00E67337" w:rsidP="00E67337">
      <w:pPr>
        <w:pStyle w:val="FSCh5Section"/>
      </w:pPr>
      <w:r w:rsidRPr="0029526B">
        <w:t>2.6.2—</w:t>
      </w:r>
      <w:r>
        <w:t>17</w:t>
      </w:r>
      <w:r>
        <w:tab/>
        <w:t xml:space="preserve">Claims </w:t>
      </w:r>
      <w:r w:rsidRPr="005D4BF7">
        <w:t>in relation to the tonicity of electrolyte drinks</w:t>
      </w:r>
    </w:p>
    <w:p w14:paraId="7F122DF2" w14:textId="77777777" w:rsidR="00E67337" w:rsidRPr="00CB6CD8" w:rsidRDefault="00E67337" w:rsidP="00E67337">
      <w:pPr>
        <w:pStyle w:val="FSCtMain"/>
        <w:ind w:hanging="850"/>
        <w:rPr>
          <w:lang w:bidi="en-US"/>
        </w:rPr>
      </w:pPr>
      <w:r w:rsidRPr="00CB6CD8">
        <w:rPr>
          <w:lang w:bidi="en-US"/>
        </w:rPr>
        <w:t>(1)</w:t>
      </w:r>
      <w:r w:rsidRPr="00CB6CD8">
        <w:rPr>
          <w:lang w:bidi="en-US"/>
        </w:rPr>
        <w:tab/>
      </w:r>
      <w:r>
        <w:rPr>
          <w:lang w:bidi="en-US"/>
        </w:rPr>
        <w:tab/>
      </w:r>
      <w:r w:rsidRPr="00CB6CD8">
        <w:rPr>
          <w:lang w:bidi="en-US"/>
        </w:rPr>
        <w:t>A claim that an electrolyte drink is isotonic may only be made if the electrolyte drink has an average osmolality of 250–340 mOsmol/</w:t>
      </w:r>
      <w:r>
        <w:rPr>
          <w:lang w:bidi="en-US"/>
        </w:rPr>
        <w:t>kg</w:t>
      </w:r>
      <w:r w:rsidRPr="00CB6CD8">
        <w:rPr>
          <w:lang w:bidi="en-US"/>
        </w:rPr>
        <w:t>.</w:t>
      </w:r>
    </w:p>
    <w:p w14:paraId="77799D0A" w14:textId="77777777" w:rsidR="00E67337" w:rsidRDefault="00E67337" w:rsidP="00E67337">
      <w:pPr>
        <w:pStyle w:val="FSCtMain"/>
        <w:tabs>
          <w:tab w:val="clear" w:pos="1134"/>
          <w:tab w:val="left" w:pos="851"/>
        </w:tabs>
        <w:ind w:hanging="850"/>
        <w:rPr>
          <w:lang w:bidi="en-US"/>
        </w:rPr>
      </w:pPr>
      <w:r>
        <w:rPr>
          <w:lang w:bidi="en-US"/>
        </w:rPr>
        <w:lastRenderedPageBreak/>
        <w:t>(2)</w:t>
      </w:r>
      <w:r>
        <w:rPr>
          <w:lang w:bidi="en-US"/>
        </w:rPr>
        <w:tab/>
        <w:t xml:space="preserve">For the labelling provisions, for </w:t>
      </w:r>
      <w:r w:rsidRPr="00CB6CD8">
        <w:rPr>
          <w:lang w:bidi="en-US"/>
        </w:rPr>
        <w:t xml:space="preserve">an electrolyte drink </w:t>
      </w:r>
      <w:r>
        <w:rPr>
          <w:lang w:bidi="en-US"/>
        </w:rPr>
        <w:t>about which a</w:t>
      </w:r>
      <w:r w:rsidRPr="00CB6CD8">
        <w:rPr>
          <w:lang w:bidi="en-US"/>
        </w:rPr>
        <w:t xml:space="preserve"> claim is made </w:t>
      </w:r>
      <w:r>
        <w:rPr>
          <w:lang w:bidi="en-US"/>
        </w:rPr>
        <w:t>that the drink is</w:t>
      </w:r>
      <w:r w:rsidRPr="00CB6CD8">
        <w:rPr>
          <w:lang w:bidi="en-US"/>
        </w:rPr>
        <w:t xml:space="preserve"> isotonic, hypertonic or hypotonic, </w:t>
      </w:r>
      <w:r>
        <w:rPr>
          <w:szCs w:val="20"/>
        </w:rPr>
        <w:t>the following information is required</w:t>
      </w:r>
      <w:r w:rsidRPr="0029526B">
        <w:t>—</w:t>
      </w:r>
      <w:r>
        <w:rPr>
          <w:lang w:bidi="en-US"/>
        </w:rPr>
        <w:t>a declaration of the</w:t>
      </w:r>
      <w:r w:rsidRPr="00CB6CD8">
        <w:rPr>
          <w:lang w:bidi="en-US"/>
        </w:rPr>
        <w:t xml:space="preserve"> osmolality of the electrolyte drink</w:t>
      </w:r>
      <w:r>
        <w:rPr>
          <w:lang w:bidi="en-US"/>
        </w:rPr>
        <w:t>,</w:t>
      </w:r>
      <w:r w:rsidRPr="00CB6CD8">
        <w:rPr>
          <w:lang w:bidi="en-US"/>
        </w:rPr>
        <w:t xml:space="preserve"> </w:t>
      </w:r>
      <w:r>
        <w:t>expressed in mOsm/</w:t>
      </w:r>
      <w:r>
        <w:rPr>
          <w:lang w:bidi="en-US"/>
        </w:rPr>
        <w:t>L.</w:t>
      </w:r>
    </w:p>
    <w:p w14:paraId="0F8A79DA" w14:textId="77777777" w:rsidR="00E67337" w:rsidRPr="00797A71" w:rsidRDefault="00E67337" w:rsidP="00E67337">
      <w:pPr>
        <w:pStyle w:val="FSCnMain"/>
        <w:rPr>
          <w:szCs w:val="16"/>
        </w:rPr>
      </w:pPr>
      <w:r w:rsidRPr="00797A71">
        <w:rPr>
          <w:szCs w:val="16"/>
        </w:rPr>
        <w:tab/>
      </w:r>
      <w:r w:rsidRPr="00797A71">
        <w:rPr>
          <w:b/>
          <w:i/>
          <w:szCs w:val="16"/>
        </w:rPr>
        <w:t>Note:</w:t>
      </w:r>
      <w:r w:rsidRPr="00797A71">
        <w:rPr>
          <w:szCs w:val="16"/>
        </w:rPr>
        <w:tab/>
        <w:t xml:space="preserve"> The labelling provisions are set out in Standard 1.2.1.</w:t>
      </w:r>
    </w:p>
    <w:p w14:paraId="4E71655B" w14:textId="77777777" w:rsidR="00E67337" w:rsidRPr="00E4598C" w:rsidRDefault="00E67337" w:rsidP="00E67337">
      <w:pPr>
        <w:pStyle w:val="FSCh5Section"/>
      </w:pPr>
      <w:r w:rsidRPr="00E4598C">
        <w:t>2.6.2—18</w:t>
      </w:r>
      <w:r w:rsidRPr="00E4598C">
        <w:tab/>
        <w:t>Claims in relation to sodium in electrolyte drinks and electrolyte drink bases</w:t>
      </w:r>
    </w:p>
    <w:p w14:paraId="6F4A20A2" w14:textId="77777777" w:rsidR="00E67337" w:rsidRPr="00E4598C" w:rsidRDefault="00E67337" w:rsidP="00E67337">
      <w:pPr>
        <w:pStyle w:val="FSCtMain"/>
      </w:pPr>
      <w:r w:rsidRPr="00E4598C">
        <w:tab/>
      </w:r>
      <w:r w:rsidRPr="00E4598C">
        <w:tab/>
        <w:t xml:space="preserve">Subsection 1.2.8—6(12) does not apply to a *claim requiring nutrition information that is </w:t>
      </w:r>
      <w:r w:rsidRPr="00E4598C">
        <w:rPr>
          <w:lang w:val="en-AU"/>
        </w:rPr>
        <w:t xml:space="preserve">made in relation to salt or sodium in </w:t>
      </w:r>
      <w:r w:rsidRPr="00E4598C">
        <w:t>an electrolyte drink or electrolyte drink base</w:t>
      </w:r>
      <w:r w:rsidRPr="00E4598C">
        <w:rPr>
          <w:lang w:val="en-AU"/>
        </w:rPr>
        <w:t>.</w:t>
      </w:r>
    </w:p>
    <w:p w14:paraId="09D2D91F" w14:textId="77777777" w:rsidR="00E67337" w:rsidRPr="00E4598C" w:rsidRDefault="00E67337" w:rsidP="00E67337">
      <w:pPr>
        <w:pStyle w:val="FSCnMain"/>
        <w:ind w:hanging="2835"/>
      </w:pPr>
      <w:r w:rsidRPr="00E4598C">
        <w:tab/>
      </w:r>
      <w:r w:rsidRPr="00E4598C">
        <w:rPr>
          <w:b/>
          <w:i/>
        </w:rPr>
        <w:t>Note:</w:t>
      </w:r>
      <w:r w:rsidRPr="00E4598C">
        <w:t xml:space="preserve"> </w:t>
      </w:r>
      <w:r w:rsidRPr="00E4598C">
        <w:tab/>
        <w:t xml:space="preserve">Subsection 1.2.8—6(12) </w:t>
      </w:r>
      <w:r w:rsidRPr="00E4598C">
        <w:rPr>
          <w:lang w:val="en-AU"/>
        </w:rPr>
        <w:t>provides that, if a claim requiring nutrition information is made in relation to salt or sodium in a food product, the nutrition information panel for that product must include a declaration of the average quantity of potassium in accordance with section S12—3</w:t>
      </w:r>
      <w:r w:rsidRPr="00E4598C">
        <w:t>.</w:t>
      </w:r>
    </w:p>
    <w:p w14:paraId="78E02DE2" w14:textId="77777777" w:rsidR="00E67337" w:rsidRDefault="00E67337" w:rsidP="00E67337"/>
    <w:p w14:paraId="4B4D3D13" w14:textId="77777777" w:rsidR="00E67337" w:rsidRDefault="00E67337" w:rsidP="00E67337"/>
    <w:p w14:paraId="6D2CD30C" w14:textId="77777777" w:rsidR="00E67337" w:rsidRPr="003A01FB" w:rsidRDefault="00E67337" w:rsidP="00E67337">
      <w:r>
        <w:t xml:space="preserve"> </w:t>
      </w:r>
      <w:r>
        <w:tab/>
      </w:r>
    </w:p>
    <w:p w14:paraId="41945E5A" w14:textId="6564CDD3" w:rsidR="00456BD5" w:rsidRPr="00795D86" w:rsidRDefault="00456BD5" w:rsidP="00456BD5">
      <w:pPr>
        <w:rPr>
          <w:lang w:bidi="ar-SA"/>
        </w:rPr>
      </w:pPr>
    </w:p>
    <w:p w14:paraId="47B46083" w14:textId="77777777" w:rsidR="00AB6158" w:rsidRPr="00AC7D62" w:rsidRDefault="00456BD5" w:rsidP="00AB6158">
      <w:pPr>
        <w:keepNext/>
        <w:spacing w:before="240" w:after="240"/>
        <w:outlineLvl w:val="1"/>
        <w:rPr>
          <w:rFonts w:cs="Arial"/>
          <w:b/>
          <w:bCs/>
          <w:sz w:val="28"/>
        </w:rPr>
      </w:pPr>
      <w:r w:rsidRPr="00932F14">
        <w:br w:type="page"/>
      </w:r>
      <w:bookmarkStart w:id="227" w:name="_Toc100829787"/>
    </w:p>
    <w:p w14:paraId="5E50CA04" w14:textId="77777777" w:rsidR="00AB6158" w:rsidRPr="006339BD" w:rsidRDefault="00AB6158" w:rsidP="006339BD">
      <w:pPr>
        <w:pStyle w:val="Heading2"/>
        <w:ind w:left="0" w:firstLine="0"/>
      </w:pPr>
      <w:bookmarkStart w:id="228" w:name="_Toc103197722"/>
      <w:r w:rsidRPr="00AC7D62">
        <w:lastRenderedPageBreak/>
        <w:t>Attachment B – Explanatory Statement</w:t>
      </w:r>
      <w:bookmarkEnd w:id="228"/>
    </w:p>
    <w:p w14:paraId="00AE15CF" w14:textId="4A65BCB5" w:rsidR="00AB6158" w:rsidRPr="00AC7D62" w:rsidRDefault="00AB6158" w:rsidP="00AB6158">
      <w:pPr>
        <w:rPr>
          <w:b/>
          <w:lang w:val="en-AU" w:eastAsia="en-GB"/>
        </w:rPr>
      </w:pPr>
      <w:r w:rsidRPr="00AC7D62">
        <w:rPr>
          <w:b/>
          <w:lang w:val="en-AU" w:eastAsia="en-GB"/>
        </w:rPr>
        <w:t>1.</w:t>
      </w:r>
      <w:r w:rsidRPr="00AC7D62">
        <w:rPr>
          <w:b/>
          <w:lang w:val="en-AU" w:eastAsia="en-GB"/>
        </w:rPr>
        <w:tab/>
        <w:t>Authority</w:t>
      </w:r>
    </w:p>
    <w:p w14:paraId="31876690" w14:textId="77777777" w:rsidR="00AB6158" w:rsidRPr="00AC7D62" w:rsidRDefault="00AB6158" w:rsidP="00AB6158">
      <w:pPr>
        <w:rPr>
          <w:lang w:val="en-AU" w:eastAsia="en-GB"/>
        </w:rPr>
      </w:pPr>
    </w:p>
    <w:p w14:paraId="32767D47" w14:textId="77777777" w:rsidR="00AB6158" w:rsidRPr="00AC7D62" w:rsidRDefault="00AB6158" w:rsidP="00AB6158">
      <w:pPr>
        <w:autoSpaceDE w:val="0"/>
        <w:autoSpaceDN w:val="0"/>
        <w:adjustRightInd w:val="0"/>
        <w:rPr>
          <w:rFonts w:eastAsia="Calibri" w:cs="Arial"/>
          <w:bCs/>
          <w:lang w:val="en-AU"/>
        </w:rPr>
      </w:pPr>
      <w:r w:rsidRPr="00AC7D62">
        <w:rPr>
          <w:rFonts w:eastAsia="Calibri" w:cs="Arial"/>
          <w:bCs/>
          <w:lang w:val="en-AU"/>
        </w:rPr>
        <w:t xml:space="preserve">Section 13 of the </w:t>
      </w:r>
      <w:r w:rsidRPr="00AC7D62">
        <w:rPr>
          <w:rFonts w:eastAsia="Calibri" w:cs="Arial"/>
          <w:bCs/>
          <w:i/>
          <w:lang w:val="en-AU"/>
        </w:rPr>
        <w:t>Food Standards Australia New Zealand Act 1991</w:t>
      </w:r>
      <w:r w:rsidRPr="00AC7D62">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AC7D62">
        <w:rPr>
          <w:rFonts w:eastAsia="Calibri" w:cs="Arial"/>
          <w:bCs/>
          <w:i/>
          <w:lang w:val="en-AU"/>
        </w:rPr>
        <w:t>Australia New Zealand Food Standards Code</w:t>
      </w:r>
      <w:r w:rsidRPr="00AC7D62">
        <w:rPr>
          <w:rFonts w:eastAsia="Calibri" w:cs="Arial"/>
          <w:bCs/>
          <w:lang w:val="en-AU"/>
        </w:rPr>
        <w:t xml:space="preserve"> (the Code).</w:t>
      </w:r>
    </w:p>
    <w:p w14:paraId="06B0DF68" w14:textId="77777777" w:rsidR="00AB6158" w:rsidRPr="00AC7D62" w:rsidRDefault="00AB6158" w:rsidP="00AB6158">
      <w:pPr>
        <w:autoSpaceDE w:val="0"/>
        <w:autoSpaceDN w:val="0"/>
        <w:adjustRightInd w:val="0"/>
        <w:rPr>
          <w:rFonts w:eastAsia="Calibri" w:cs="Arial"/>
          <w:bCs/>
          <w:lang w:val="en-AU"/>
        </w:rPr>
      </w:pPr>
    </w:p>
    <w:p w14:paraId="4A774301" w14:textId="77777777" w:rsidR="00AB6158" w:rsidRPr="00AC7D62" w:rsidRDefault="00AB6158" w:rsidP="00AB6158">
      <w:pPr>
        <w:autoSpaceDE w:val="0"/>
        <w:autoSpaceDN w:val="0"/>
        <w:adjustRightInd w:val="0"/>
        <w:rPr>
          <w:rFonts w:eastAsia="Calibri" w:cs="Arial"/>
          <w:bCs/>
          <w:lang w:val="en-AU"/>
        </w:rPr>
      </w:pPr>
      <w:r w:rsidRPr="00AC7D62">
        <w:rPr>
          <w:rFonts w:eastAsia="Calibri" w:cs="Arial"/>
          <w:bCs/>
          <w:lang w:val="en-AU"/>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5C52519E" w14:textId="77777777" w:rsidR="00AB6158" w:rsidRPr="00AC7D62" w:rsidRDefault="00AB6158" w:rsidP="00AB6158">
      <w:pPr>
        <w:autoSpaceDE w:val="0"/>
        <w:autoSpaceDN w:val="0"/>
        <w:adjustRightInd w:val="0"/>
        <w:rPr>
          <w:rFonts w:eastAsia="Calibri" w:cs="Arial"/>
          <w:bCs/>
          <w:lang w:val="en-AU"/>
        </w:rPr>
      </w:pPr>
    </w:p>
    <w:p w14:paraId="5D12113C" w14:textId="77777777" w:rsidR="00AB6158" w:rsidRDefault="00AB6158" w:rsidP="00AB6158">
      <w:pPr>
        <w:autoSpaceDE w:val="0"/>
        <w:autoSpaceDN w:val="0"/>
        <w:adjustRightInd w:val="0"/>
        <w:rPr>
          <w:rFonts w:eastAsia="Calibri" w:cs="Arial"/>
          <w:bCs/>
          <w:lang w:val="en-AU"/>
        </w:rPr>
      </w:pPr>
      <w:r w:rsidRPr="00AC7D62">
        <w:rPr>
          <w:rFonts w:eastAsia="Calibri" w:cs="Arial"/>
          <w:bCs/>
          <w:lang w:val="en-AU"/>
        </w:rPr>
        <w:t xml:space="preserve">The Authority had </w:t>
      </w:r>
      <w:r>
        <w:rPr>
          <w:rFonts w:eastAsia="Calibri" w:cs="Arial"/>
          <w:bCs/>
          <w:lang w:val="en-AU"/>
        </w:rPr>
        <w:t xml:space="preserve">originally </w:t>
      </w:r>
      <w:r w:rsidRPr="00AC7D62">
        <w:rPr>
          <w:rFonts w:eastAsia="Calibri" w:cs="Arial"/>
          <w:bCs/>
          <w:lang w:val="en-AU"/>
        </w:rPr>
        <w:t xml:space="preserve">prepared Proposal P1030 to </w:t>
      </w:r>
      <w:r w:rsidRPr="00B6310A">
        <w:rPr>
          <w:rFonts w:eastAsia="Calibri" w:cs="Arial"/>
          <w:bCs/>
          <w:lang w:val="en-AU"/>
        </w:rPr>
        <w:t>permit formulated supplementary sports</w:t>
      </w:r>
      <w:r>
        <w:rPr>
          <w:rFonts w:eastAsia="Calibri" w:cs="Arial"/>
          <w:bCs/>
          <w:lang w:val="en-AU"/>
        </w:rPr>
        <w:t xml:space="preserve"> </w:t>
      </w:r>
      <w:r w:rsidRPr="00B6310A">
        <w:rPr>
          <w:rFonts w:eastAsia="Calibri" w:cs="Arial"/>
          <w:bCs/>
          <w:lang w:val="en-AU"/>
        </w:rPr>
        <w:t>foods, electrolyte drinks and electrolyte drink bases to carry health claims on their labels and</w:t>
      </w:r>
      <w:r>
        <w:rPr>
          <w:rFonts w:eastAsia="Calibri" w:cs="Arial"/>
          <w:bCs/>
          <w:lang w:val="en-AU"/>
        </w:rPr>
        <w:t xml:space="preserve"> </w:t>
      </w:r>
      <w:r w:rsidRPr="00B6310A">
        <w:rPr>
          <w:rFonts w:eastAsia="Calibri" w:cs="Arial"/>
          <w:bCs/>
          <w:lang w:val="en-AU"/>
        </w:rPr>
        <w:t>in advertising; and to transfer the regulation of electrolyte drinks and electrolyte drink bases</w:t>
      </w:r>
      <w:r>
        <w:rPr>
          <w:rFonts w:eastAsia="Calibri" w:cs="Arial"/>
          <w:bCs/>
          <w:lang w:val="en-AU"/>
        </w:rPr>
        <w:t xml:space="preserve"> </w:t>
      </w:r>
      <w:r w:rsidRPr="00B6310A">
        <w:rPr>
          <w:rFonts w:eastAsia="Calibri" w:cs="Arial"/>
          <w:bCs/>
          <w:lang w:val="en-AU"/>
        </w:rPr>
        <w:t>from P</w:t>
      </w:r>
      <w:r>
        <w:rPr>
          <w:rFonts w:eastAsia="Calibri" w:cs="Arial"/>
          <w:bCs/>
          <w:lang w:val="en-AU"/>
        </w:rPr>
        <w:t>art 2.6 to Part 2.9 of the Code</w:t>
      </w:r>
      <w:r w:rsidRPr="00AC7D62">
        <w:rPr>
          <w:rFonts w:eastAsia="Calibri" w:cs="Arial"/>
          <w:bCs/>
          <w:lang w:val="en-AU"/>
        </w:rPr>
        <w:t xml:space="preserve">. </w:t>
      </w:r>
      <w:r>
        <w:t>The Authority had considered the Proposal in accordance with Division 2 of Part 3 of the FSANZ Act and prepared a draft variation (the call for submissions (CFS) draft variation).</w:t>
      </w:r>
    </w:p>
    <w:p w14:paraId="192C07C9" w14:textId="77777777" w:rsidR="00AB6158" w:rsidRDefault="00AB6158" w:rsidP="00AB6158">
      <w:pPr>
        <w:autoSpaceDE w:val="0"/>
        <w:autoSpaceDN w:val="0"/>
        <w:adjustRightInd w:val="0"/>
        <w:rPr>
          <w:rFonts w:eastAsia="Calibri" w:cs="Arial"/>
          <w:bCs/>
          <w:lang w:val="en-AU"/>
        </w:rPr>
      </w:pPr>
    </w:p>
    <w:p w14:paraId="49336D74" w14:textId="4F37499D" w:rsidR="00AB6158" w:rsidRDefault="00AB6158" w:rsidP="00AB6158">
      <w:pPr>
        <w:autoSpaceDE w:val="0"/>
        <w:autoSpaceDN w:val="0"/>
        <w:adjustRightInd w:val="0"/>
        <w:rPr>
          <w:rFonts w:eastAsia="Calibri" w:cs="Arial"/>
          <w:bCs/>
          <w:lang w:val="en-AU"/>
        </w:rPr>
      </w:pPr>
      <w:r w:rsidRPr="00E915A0">
        <w:rPr>
          <w:rFonts w:eastAsia="Calibri" w:cs="Arial"/>
          <w:bCs/>
          <w:lang w:val="en-AU"/>
        </w:rPr>
        <w:t xml:space="preserve">The Authority </w:t>
      </w:r>
      <w:r>
        <w:rPr>
          <w:rFonts w:eastAsia="Calibri" w:cs="Arial"/>
          <w:bCs/>
          <w:lang w:val="en-AU"/>
        </w:rPr>
        <w:t xml:space="preserve">then </w:t>
      </w:r>
      <w:r w:rsidRPr="00E915A0">
        <w:rPr>
          <w:rFonts w:eastAsia="Calibri" w:cs="Arial"/>
          <w:bCs/>
          <w:lang w:val="en-AU"/>
        </w:rPr>
        <w:t>called for submissions on th</w:t>
      </w:r>
      <w:r>
        <w:rPr>
          <w:rFonts w:eastAsia="Calibri" w:cs="Arial"/>
          <w:bCs/>
          <w:lang w:val="en-AU"/>
        </w:rPr>
        <w:t xml:space="preserve">e </w:t>
      </w:r>
      <w:r w:rsidRPr="00E915A0">
        <w:rPr>
          <w:rFonts w:eastAsia="Calibri" w:cs="Arial"/>
          <w:bCs/>
          <w:lang w:val="en-AU"/>
        </w:rPr>
        <w:t>draft variation in 2014 under section 61 of the</w:t>
      </w:r>
      <w:r>
        <w:rPr>
          <w:rFonts w:eastAsia="Calibri" w:cs="Arial"/>
          <w:bCs/>
          <w:lang w:val="en-AU"/>
        </w:rPr>
        <w:t xml:space="preserve"> </w:t>
      </w:r>
      <w:r w:rsidRPr="00E915A0">
        <w:rPr>
          <w:rFonts w:eastAsia="Calibri" w:cs="Arial"/>
          <w:bCs/>
          <w:lang w:val="en-AU"/>
        </w:rPr>
        <w:t xml:space="preserve">FSANZ Act and had regard to all submissions made during the </w:t>
      </w:r>
      <w:r>
        <w:rPr>
          <w:rFonts w:eastAsia="Calibri" w:cs="Arial"/>
          <w:bCs/>
          <w:lang w:val="en-AU"/>
        </w:rPr>
        <w:t>CFS</w:t>
      </w:r>
      <w:r w:rsidRPr="00E915A0">
        <w:rPr>
          <w:rFonts w:eastAsia="Calibri" w:cs="Arial"/>
          <w:bCs/>
          <w:lang w:val="en-AU"/>
        </w:rPr>
        <w:t xml:space="preserve"> in</w:t>
      </w:r>
      <w:r>
        <w:rPr>
          <w:rFonts w:eastAsia="Calibri" w:cs="Arial"/>
          <w:bCs/>
          <w:lang w:val="en-AU"/>
        </w:rPr>
        <w:t xml:space="preserve"> </w:t>
      </w:r>
      <w:r w:rsidRPr="00E915A0">
        <w:rPr>
          <w:rFonts w:eastAsia="Calibri" w:cs="Arial"/>
          <w:bCs/>
          <w:lang w:val="en-AU"/>
        </w:rPr>
        <w:t>accordance with subsection 63(2) of the Act. Consequently, the Authority ha</w:t>
      </w:r>
      <w:r>
        <w:rPr>
          <w:rFonts w:eastAsia="Calibri" w:cs="Arial"/>
          <w:bCs/>
          <w:lang w:val="en-AU"/>
        </w:rPr>
        <w:t>d</w:t>
      </w:r>
      <w:r w:rsidRPr="00E915A0">
        <w:rPr>
          <w:rFonts w:eastAsia="Calibri" w:cs="Arial"/>
          <w:bCs/>
          <w:lang w:val="en-AU"/>
        </w:rPr>
        <w:t xml:space="preserve"> further</w:t>
      </w:r>
      <w:r>
        <w:rPr>
          <w:rFonts w:eastAsia="Calibri" w:cs="Arial"/>
          <w:bCs/>
          <w:lang w:val="en-AU"/>
        </w:rPr>
        <w:t xml:space="preserve"> </w:t>
      </w:r>
      <w:r w:rsidRPr="00E915A0">
        <w:rPr>
          <w:rFonts w:eastAsia="Calibri" w:cs="Arial"/>
          <w:bCs/>
          <w:lang w:val="en-AU"/>
        </w:rPr>
        <w:t>considered the Proposal in accordance with Division 2 of Part 3 of the FSANZ Act; and</w:t>
      </w:r>
      <w:r>
        <w:rPr>
          <w:rFonts w:eastAsia="Calibri" w:cs="Arial"/>
          <w:bCs/>
          <w:lang w:val="en-AU"/>
        </w:rPr>
        <w:t xml:space="preserve"> </w:t>
      </w:r>
      <w:r w:rsidRPr="00E915A0">
        <w:rPr>
          <w:rFonts w:eastAsia="Calibri" w:cs="Arial"/>
          <w:bCs/>
          <w:lang w:val="en-AU"/>
        </w:rPr>
        <w:t>revised the scope and direction of the Proposal to limit its focus on the composition and</w:t>
      </w:r>
      <w:r>
        <w:rPr>
          <w:rFonts w:eastAsia="Calibri" w:cs="Arial"/>
          <w:bCs/>
          <w:lang w:val="en-AU"/>
        </w:rPr>
        <w:t xml:space="preserve"> </w:t>
      </w:r>
      <w:r w:rsidRPr="00E915A0">
        <w:rPr>
          <w:rFonts w:eastAsia="Calibri" w:cs="Arial"/>
          <w:bCs/>
          <w:lang w:val="en-AU"/>
        </w:rPr>
        <w:t xml:space="preserve">labelling of electrolyte drinks. </w:t>
      </w:r>
      <w:r>
        <w:rPr>
          <w:rFonts w:eastAsia="Calibri" w:cs="Arial"/>
          <w:bCs/>
          <w:lang w:val="en-AU"/>
        </w:rPr>
        <w:t>The Authority also proposed that t</w:t>
      </w:r>
      <w:r w:rsidRPr="00E915A0">
        <w:rPr>
          <w:rFonts w:eastAsia="Calibri" w:cs="Arial"/>
          <w:bCs/>
          <w:lang w:val="en-AU"/>
        </w:rPr>
        <w:t>he regulation of electrolyte drinks and electrolyte drink bases</w:t>
      </w:r>
      <w:r>
        <w:rPr>
          <w:rFonts w:eastAsia="Calibri" w:cs="Arial"/>
          <w:bCs/>
          <w:lang w:val="en-AU"/>
        </w:rPr>
        <w:t xml:space="preserve"> would</w:t>
      </w:r>
      <w:r w:rsidRPr="00E915A0">
        <w:rPr>
          <w:rFonts w:eastAsia="Calibri" w:cs="Arial"/>
          <w:bCs/>
          <w:lang w:val="en-AU"/>
        </w:rPr>
        <w:t xml:space="preserve"> remain in Part 2.6 of the Code and not be transferred to Part 2.9 as </w:t>
      </w:r>
      <w:r>
        <w:rPr>
          <w:rFonts w:eastAsia="Calibri" w:cs="Arial"/>
          <w:bCs/>
          <w:lang w:val="en-AU"/>
        </w:rPr>
        <w:t>originally</w:t>
      </w:r>
      <w:r w:rsidRPr="00E915A0">
        <w:rPr>
          <w:rFonts w:eastAsia="Calibri" w:cs="Arial"/>
          <w:bCs/>
          <w:lang w:val="en-AU"/>
        </w:rPr>
        <w:t xml:space="preserve"> proposed.</w:t>
      </w:r>
      <w:r>
        <w:rPr>
          <w:rFonts w:eastAsia="Calibri" w:cs="Arial"/>
          <w:bCs/>
          <w:lang w:val="en-AU"/>
        </w:rPr>
        <w:t xml:space="preserve"> Following further consideration of </w:t>
      </w:r>
      <w:r w:rsidRPr="00AC7D62">
        <w:rPr>
          <w:rFonts w:eastAsia="Calibri" w:cs="Arial"/>
          <w:bCs/>
          <w:lang w:val="en-AU"/>
        </w:rPr>
        <w:t>the Proposal in accordance with Division 2 of Part 3</w:t>
      </w:r>
      <w:r>
        <w:rPr>
          <w:rFonts w:eastAsia="Calibri" w:cs="Arial"/>
          <w:bCs/>
          <w:lang w:val="en-AU"/>
        </w:rPr>
        <w:t>,</w:t>
      </w:r>
      <w:r w:rsidRPr="00AC7D62">
        <w:rPr>
          <w:rFonts w:eastAsia="Calibri" w:cs="Arial"/>
          <w:bCs/>
          <w:lang w:val="en-AU"/>
        </w:rPr>
        <w:t xml:space="preserve"> </w:t>
      </w:r>
      <w:r>
        <w:rPr>
          <w:rFonts w:eastAsia="Calibri" w:cs="Arial"/>
          <w:bCs/>
          <w:lang w:val="en-AU"/>
        </w:rPr>
        <w:t>the Authority</w:t>
      </w:r>
      <w:r w:rsidRPr="00AC7D62">
        <w:rPr>
          <w:rFonts w:eastAsia="Calibri" w:cs="Arial"/>
          <w:bCs/>
          <w:lang w:val="en-AU"/>
        </w:rPr>
        <w:t xml:space="preserve"> </w:t>
      </w:r>
      <w:r>
        <w:rPr>
          <w:rFonts w:eastAsia="Calibri" w:cs="Arial"/>
          <w:bCs/>
          <w:lang w:val="en-AU"/>
        </w:rPr>
        <w:t>proposed a number of amendments to the draft variation</w:t>
      </w:r>
      <w:r w:rsidRPr="00AC7D62">
        <w:rPr>
          <w:rFonts w:eastAsia="Calibri" w:cs="Arial"/>
          <w:bCs/>
          <w:lang w:val="en-AU"/>
        </w:rPr>
        <w:t xml:space="preserve">. </w:t>
      </w:r>
    </w:p>
    <w:p w14:paraId="54FAE743" w14:textId="77777777" w:rsidR="00AB6158" w:rsidRDefault="00AB6158" w:rsidP="00AB6158">
      <w:pPr>
        <w:autoSpaceDE w:val="0"/>
        <w:autoSpaceDN w:val="0"/>
        <w:adjustRightInd w:val="0"/>
        <w:rPr>
          <w:rFonts w:eastAsia="Calibri" w:cs="Arial"/>
          <w:bCs/>
          <w:lang w:val="en-AU"/>
        </w:rPr>
      </w:pPr>
    </w:p>
    <w:p w14:paraId="3886D34D" w14:textId="57F9E1A1" w:rsidR="00AB6158" w:rsidRPr="00AC7D62" w:rsidRDefault="00AB6158" w:rsidP="00AB6158">
      <w:pPr>
        <w:autoSpaceDE w:val="0"/>
        <w:autoSpaceDN w:val="0"/>
        <w:adjustRightInd w:val="0"/>
        <w:rPr>
          <w:rFonts w:eastAsia="Calibri" w:cs="Arial"/>
          <w:bCs/>
          <w:lang w:val="en-AU"/>
        </w:rPr>
      </w:pPr>
      <w:r>
        <w:rPr>
          <w:rFonts w:eastAsia="Calibri" w:cs="Arial"/>
          <w:bCs/>
          <w:lang w:val="en-AU"/>
        </w:rPr>
        <w:t xml:space="preserve">The Authority undertook further consultation with stakeholders in May 2021 on the proposed amendments to the draft variation </w:t>
      </w:r>
      <w:r w:rsidRPr="00E915A0">
        <w:rPr>
          <w:rFonts w:eastAsia="Calibri" w:cs="Arial"/>
          <w:bCs/>
          <w:lang w:val="en-AU"/>
        </w:rPr>
        <w:t>and has had regard to all submissions made during</w:t>
      </w:r>
      <w:r>
        <w:rPr>
          <w:rFonts w:eastAsia="Calibri" w:cs="Arial"/>
          <w:bCs/>
          <w:lang w:val="en-AU"/>
        </w:rPr>
        <w:t xml:space="preserve"> that consultation in addition to submissions received in 2014. The Authority then further considered the Proposal in accordance with Division 2 of Part 3 of the FSANZ Act and approved the draft variation with amendments (the approved draft variation).</w:t>
      </w:r>
    </w:p>
    <w:p w14:paraId="27650246" w14:textId="77777777" w:rsidR="00AB6158" w:rsidRPr="00AC7D62" w:rsidRDefault="00AB6158" w:rsidP="00AB6158">
      <w:pPr>
        <w:autoSpaceDE w:val="0"/>
        <w:autoSpaceDN w:val="0"/>
        <w:adjustRightInd w:val="0"/>
        <w:rPr>
          <w:rFonts w:eastAsia="Calibri" w:cs="Arial"/>
          <w:bCs/>
          <w:lang w:val="en-AU"/>
        </w:rPr>
      </w:pPr>
    </w:p>
    <w:p w14:paraId="6914EDFA" w14:textId="020D325E" w:rsidR="00AB6158" w:rsidRPr="00AC7D62" w:rsidRDefault="00AB6158" w:rsidP="00AB6158">
      <w:pPr>
        <w:autoSpaceDE w:val="0"/>
        <w:autoSpaceDN w:val="0"/>
        <w:adjustRightInd w:val="0"/>
        <w:rPr>
          <w:rFonts w:eastAsia="Calibri" w:cs="Arial"/>
          <w:bCs/>
          <w:lang w:val="en-AU"/>
        </w:rPr>
      </w:pPr>
      <w:r w:rsidRPr="00AC7D62">
        <w:rPr>
          <w:rFonts w:eastAsia="Calibri" w:cs="Arial"/>
          <w:bCs/>
          <w:lang w:val="en-AU"/>
        </w:rPr>
        <w:t xml:space="preserve">Following consideration by the </w:t>
      </w:r>
      <w:r w:rsidRPr="00AC7D62">
        <w:rPr>
          <w:rFonts w:cs="Helvetica"/>
          <w:lang w:val="en-AU"/>
        </w:rPr>
        <w:t xml:space="preserve">Australia and New Zealand Ministerial Forum on Food </w:t>
      </w:r>
      <w:r w:rsidRPr="00AC7D62">
        <w:rPr>
          <w:rFonts w:cs="Arial"/>
        </w:rPr>
        <w:t>Regulation</w:t>
      </w:r>
      <w:r w:rsidR="0064034F">
        <w:rPr>
          <w:rFonts w:cs="Arial"/>
        </w:rPr>
        <w:t xml:space="preserve"> (also known as the Food Ministers</w:t>
      </w:r>
      <w:r w:rsidR="00B42116">
        <w:rPr>
          <w:rFonts w:cs="Arial"/>
        </w:rPr>
        <w:t>’</w:t>
      </w:r>
      <w:r w:rsidR="0064034F">
        <w:rPr>
          <w:rFonts w:cs="Arial"/>
        </w:rPr>
        <w:t xml:space="preserve"> Meeting)</w:t>
      </w:r>
      <w:r w:rsidRPr="00AC7D62">
        <w:rPr>
          <w:rFonts w:eastAsia="Calibri" w:cs="Arial"/>
          <w:bCs/>
          <w:lang w:val="en-AU"/>
        </w:rPr>
        <w:t xml:space="preserve">, section 92 of the FSANZ Act stipulates that the Authority must publish a notice about the standard or draft variation of a standard. </w:t>
      </w:r>
    </w:p>
    <w:p w14:paraId="62FA72A6" w14:textId="77777777" w:rsidR="00AB6158" w:rsidRPr="00AC7D62" w:rsidRDefault="00AB6158" w:rsidP="00AB6158">
      <w:pPr>
        <w:autoSpaceDE w:val="0"/>
        <w:autoSpaceDN w:val="0"/>
        <w:adjustRightInd w:val="0"/>
        <w:rPr>
          <w:rFonts w:eastAsia="Calibri" w:cs="Arial"/>
          <w:bCs/>
          <w:lang w:val="en-AU"/>
        </w:rPr>
      </w:pPr>
    </w:p>
    <w:p w14:paraId="3D0D3A8C" w14:textId="77777777" w:rsidR="00AB6158" w:rsidRPr="00AC7D62" w:rsidRDefault="00AB6158" w:rsidP="00AB6158">
      <w:pPr>
        <w:autoSpaceDE w:val="0"/>
        <w:autoSpaceDN w:val="0"/>
        <w:adjustRightInd w:val="0"/>
        <w:rPr>
          <w:rFonts w:eastAsia="Calibri" w:cs="Arial"/>
          <w:color w:val="000000"/>
          <w:lang w:val="en-AU"/>
        </w:rPr>
      </w:pPr>
      <w:r w:rsidRPr="00AC7D62">
        <w:rPr>
          <w:rFonts w:eastAsia="Calibri" w:cs="Arial"/>
          <w:bCs/>
          <w:color w:val="000000"/>
          <w:lang w:val="en-AU"/>
        </w:rPr>
        <w:t>Section 94 of the FSANZ Act specifies that a</w:t>
      </w:r>
      <w:r w:rsidRPr="00AC7D62">
        <w:rPr>
          <w:rFonts w:eastAsia="Calibri" w:cs="Arial"/>
          <w:color w:val="000000"/>
          <w:lang w:val="en-AU"/>
        </w:rPr>
        <w:t xml:space="preserve"> standard, or a variation of a standard, in relation to which a notice is published under section 92 is a legislative instrument, but is not subject to parliamentary disallowance or sunsetting under the </w:t>
      </w:r>
      <w:r w:rsidRPr="00AC7D62">
        <w:rPr>
          <w:rFonts w:eastAsia="Calibri" w:cs="Arial"/>
          <w:i/>
          <w:color w:val="000000"/>
          <w:lang w:val="en-AU"/>
        </w:rPr>
        <w:t>Legislation Act 2003</w:t>
      </w:r>
      <w:r w:rsidRPr="00AC7D62">
        <w:rPr>
          <w:rFonts w:eastAsia="Calibri" w:cs="Arial"/>
          <w:color w:val="000000"/>
          <w:lang w:val="en-AU"/>
        </w:rPr>
        <w:t>.</w:t>
      </w:r>
    </w:p>
    <w:p w14:paraId="3F8BEA72" w14:textId="77777777" w:rsidR="00AB6158" w:rsidRPr="00AC7D62" w:rsidRDefault="00AB6158" w:rsidP="00AB6158">
      <w:pPr>
        <w:rPr>
          <w:lang w:val="en-AU" w:eastAsia="en-GB"/>
        </w:rPr>
      </w:pPr>
    </w:p>
    <w:p w14:paraId="75ADEC3B" w14:textId="77777777" w:rsidR="00AB6158" w:rsidRPr="00AC7D62" w:rsidRDefault="00AB6158" w:rsidP="00AB6158">
      <w:pPr>
        <w:rPr>
          <w:b/>
          <w:lang w:val="en-AU" w:eastAsia="en-GB"/>
        </w:rPr>
      </w:pPr>
      <w:r w:rsidRPr="00AC7D62">
        <w:rPr>
          <w:b/>
          <w:lang w:val="en-AU" w:eastAsia="en-GB"/>
        </w:rPr>
        <w:t>2.</w:t>
      </w:r>
      <w:r w:rsidRPr="00AC7D62">
        <w:rPr>
          <w:b/>
          <w:lang w:val="en-AU" w:eastAsia="en-GB"/>
        </w:rPr>
        <w:tab/>
        <w:t>Variation is a legislative instrument</w:t>
      </w:r>
    </w:p>
    <w:p w14:paraId="2C4C84F4" w14:textId="77777777" w:rsidR="00AB6158" w:rsidRPr="00AC7D62" w:rsidRDefault="00AB6158" w:rsidP="00AB6158">
      <w:pPr>
        <w:rPr>
          <w:b/>
          <w:lang w:val="en-AU" w:eastAsia="en-GB"/>
        </w:rPr>
      </w:pPr>
    </w:p>
    <w:p w14:paraId="0E953F50" w14:textId="77777777" w:rsidR="00AB6158" w:rsidRPr="00AC7D62" w:rsidRDefault="00AB6158" w:rsidP="00AB6158">
      <w:pPr>
        <w:rPr>
          <w:rFonts w:cs="Arial"/>
        </w:rPr>
      </w:pPr>
      <w:r w:rsidRPr="00AC7D62">
        <w:rPr>
          <w:rFonts w:cs="Arial"/>
        </w:rPr>
        <w:t xml:space="preserve">The approved draft variation is a legislative instrument for the purposes of the </w:t>
      </w:r>
      <w:r w:rsidRPr="00AC7D62">
        <w:rPr>
          <w:rFonts w:cs="Arial"/>
          <w:i/>
          <w:iCs/>
        </w:rPr>
        <w:t>Legislation Act 2003</w:t>
      </w:r>
      <w:r w:rsidRPr="00AC7D62">
        <w:rPr>
          <w:rFonts w:cs="Arial"/>
        </w:rPr>
        <w:t xml:space="preserve"> (see section 94 of the FSANZ Act) and is publicly available on the Federal Register of Legislation (</w:t>
      </w:r>
      <w:hyperlink r:id="rId21" w:history="1">
        <w:r w:rsidRPr="00AC7D62">
          <w:rPr>
            <w:rFonts w:cs="Arial"/>
            <w:color w:val="3333FF"/>
            <w:u w:val="single"/>
          </w:rPr>
          <w:t>www.legislation.gov.au</w:t>
        </w:r>
      </w:hyperlink>
      <w:r w:rsidRPr="00AC7D62">
        <w:rPr>
          <w:rFonts w:cs="Arial"/>
        </w:rPr>
        <w:t>).</w:t>
      </w:r>
    </w:p>
    <w:p w14:paraId="0EAA9C29" w14:textId="77777777" w:rsidR="00AB6158" w:rsidRPr="00AC7D62" w:rsidRDefault="00AB6158" w:rsidP="00AB6158">
      <w:pPr>
        <w:rPr>
          <w:rFonts w:cs="Arial"/>
        </w:rPr>
      </w:pPr>
    </w:p>
    <w:p w14:paraId="423577EF" w14:textId="77777777" w:rsidR="00AB6158" w:rsidRPr="00AC7D62" w:rsidRDefault="00AB6158" w:rsidP="00AB6158">
      <w:pPr>
        <w:rPr>
          <w:rFonts w:cs="Arial"/>
        </w:rPr>
      </w:pPr>
      <w:r w:rsidRPr="00AC7D62">
        <w:rPr>
          <w:rFonts w:cs="Arial"/>
        </w:rPr>
        <w:t xml:space="preserve">This instrument is not subject to the disallowance or sunsetting provisions of the </w:t>
      </w:r>
      <w:r w:rsidRPr="00AC7D62">
        <w:rPr>
          <w:rFonts w:cs="Arial"/>
          <w:i/>
          <w:iCs/>
        </w:rPr>
        <w:t xml:space="preserve">Legislation Act 2003. </w:t>
      </w:r>
      <w:r w:rsidRPr="00AC7D62">
        <w:rPr>
          <w:rFonts w:cs="Arial"/>
        </w:rPr>
        <w:t>Subsections</w:t>
      </w:r>
      <w:r w:rsidRPr="00AC7D62">
        <w:rPr>
          <w:rFonts w:cs="Arial"/>
          <w:i/>
          <w:iCs/>
        </w:rPr>
        <w:t xml:space="preserve"> </w:t>
      </w:r>
      <w:r w:rsidRPr="00AC7D62">
        <w:rPr>
          <w:rFonts w:cs="Arial"/>
        </w:rPr>
        <w:t>44(1) and 54(1) of that Act</w:t>
      </w:r>
      <w:r w:rsidRPr="00AC7D62">
        <w:rPr>
          <w:rFonts w:cs="Arial"/>
          <w:i/>
          <w:iCs/>
        </w:rPr>
        <w:t xml:space="preserve"> </w:t>
      </w:r>
      <w:r w:rsidRPr="00AC7D62">
        <w:rPr>
          <w:rFonts w:cs="Arial"/>
        </w:rPr>
        <w:t xml:space="preserve">provide that a legislative instrument is not disallowable or subject to sunsetting if the enabling legislation for the instrument (in this case, </w:t>
      </w:r>
      <w:r w:rsidRPr="00AC7D62">
        <w:rPr>
          <w:rFonts w:cs="Arial"/>
        </w:rPr>
        <w:lastRenderedPageBreak/>
        <w:t xml:space="preserve">the FSANZ Act): (a) facilitates the establishment or operation of an intergovernmental scheme involving the Commonwealth and one or more States; and (b) authorises the instrument to be made for the purposes of the scheme. Regulation 11 of the </w:t>
      </w:r>
      <w:r w:rsidRPr="00AC7D62">
        <w:rPr>
          <w:rFonts w:cs="Arial"/>
          <w:i/>
          <w:iCs/>
        </w:rPr>
        <w:t>Legislation (Exemptions and other Matters) Regulation 2015</w:t>
      </w:r>
      <w:r w:rsidRPr="00AC7D62">
        <w:rPr>
          <w:rFonts w:cs="Arial"/>
        </w:rPr>
        <w:t xml:space="preserve"> </w:t>
      </w:r>
      <w:r w:rsidRPr="00AC7D62">
        <w:rPr>
          <w:rFonts w:cs="Arial"/>
          <w:lang w:val="en"/>
        </w:rPr>
        <w:t xml:space="preserve">also exempts from sunsetting legislative instruments </w:t>
      </w:r>
      <w:r w:rsidRPr="00AC7D62">
        <w:rPr>
          <w:rFonts w:cs="Arial"/>
          <w:shd w:val="clear" w:color="auto" w:fill="FFFFFF"/>
        </w:rPr>
        <w:t xml:space="preserve">a primary purpose of which is to </w:t>
      </w:r>
      <w:r w:rsidRPr="00AC7D62">
        <w:rPr>
          <w:rFonts w:cs="Arial"/>
        </w:rPr>
        <w:t>give effect to an international obligation of Australia.</w:t>
      </w:r>
    </w:p>
    <w:p w14:paraId="1846D7A8" w14:textId="77777777" w:rsidR="00AB6158" w:rsidRPr="00AC7D62" w:rsidRDefault="00AB6158" w:rsidP="00AB6158">
      <w:pPr>
        <w:rPr>
          <w:rFonts w:cs="Arial"/>
          <w:color w:val="0000CC"/>
        </w:rPr>
      </w:pPr>
    </w:p>
    <w:p w14:paraId="70CBF49C" w14:textId="77777777" w:rsidR="00AB6158" w:rsidRPr="00AC7D62" w:rsidRDefault="00AB6158" w:rsidP="00AB6158">
      <w:pPr>
        <w:rPr>
          <w:b/>
          <w:lang w:val="en-AU" w:eastAsia="en-GB"/>
        </w:rPr>
      </w:pPr>
      <w:r w:rsidRPr="00AC7D62">
        <w:rPr>
          <w:rFonts w:cs="Arial"/>
        </w:rPr>
        <w:t xml:space="preserve">The </w:t>
      </w:r>
      <w:r w:rsidRPr="00AC7D62">
        <w:rPr>
          <w:rFonts w:cs="Arial"/>
          <w:lang w:val="en-AU"/>
        </w:rPr>
        <w:t>FSANZ Act</w:t>
      </w:r>
      <w:r w:rsidRPr="00AC7D62">
        <w:rPr>
          <w:rFonts w:cs="Arial"/>
          <w:i/>
          <w:iCs/>
          <w:lang w:val="en-AU"/>
        </w:rPr>
        <w:t xml:space="preserve"> </w:t>
      </w:r>
      <w:r w:rsidRPr="00AC7D62">
        <w:rPr>
          <w:rFonts w:cs="Arial"/>
          <w:lang w:val="en-AU"/>
        </w:rPr>
        <w:t xml:space="preserve">gives effect to </w:t>
      </w:r>
      <w:r w:rsidRPr="00AC7D62">
        <w:rPr>
          <w:rFonts w:cs="Arial"/>
        </w:rPr>
        <w:t xml:space="preserve">an intergovernmental agreement (the Food Regulation Agreement) and facilitates the establishment or operation of an intergovernmental scheme (national uniform food regulation). </w:t>
      </w:r>
      <w:r w:rsidRPr="00AC7D62">
        <w:rPr>
          <w:rFonts w:cs="Arial"/>
          <w:lang w:val="en-AU"/>
        </w:rPr>
        <w:t>That Act also</w:t>
      </w:r>
      <w:r w:rsidRPr="00AC7D62">
        <w:rPr>
          <w:rFonts w:cs="Arial"/>
          <w:i/>
          <w:iCs/>
          <w:lang w:val="en-AU"/>
        </w:rPr>
        <w:t xml:space="preserve"> </w:t>
      </w:r>
      <w:r w:rsidRPr="00AC7D62">
        <w:rPr>
          <w:rFonts w:cs="Arial"/>
          <w:lang w:val="en-AU"/>
        </w:rPr>
        <w:t xml:space="preserve">gives effect to Australia’s obligations under an international agreement between Australia and New Zealand. For these purposes, the Act </w:t>
      </w:r>
      <w:r w:rsidRPr="00AC7D62">
        <w:rPr>
          <w:rFonts w:cs="Arial"/>
        </w:rPr>
        <w:t xml:space="preserve">establishes the Authority to </w:t>
      </w:r>
      <w:r w:rsidRPr="00AC7D62">
        <w:rPr>
          <w:rFonts w:cs="Arial"/>
          <w:lang w:val="en-AU"/>
        </w:rPr>
        <w:t xml:space="preserve">develop food standards </w:t>
      </w:r>
      <w:r w:rsidRPr="00AC7D62">
        <w:rPr>
          <w:rFonts w:cs="Arial"/>
        </w:rPr>
        <w:t xml:space="preserve">for consideration and endorsement by the Food Ministers Meeting (FMM). The FMM is established under the Food Regulation Agreement and the </w:t>
      </w:r>
      <w:r w:rsidRPr="00AC7D62">
        <w:rPr>
          <w:rFonts w:cs="Arial"/>
          <w:lang w:val="en-AU"/>
        </w:rPr>
        <w:t>international agreement between Australia and New Zealand</w:t>
      </w:r>
      <w:r w:rsidRPr="00AC7D62">
        <w:rPr>
          <w:rFonts w:cs="Arial"/>
        </w:rPr>
        <w:t xml:space="preserve">, and consists of New Zealand, Commonwealth and State/Territory members. If endorsed by the FMM, </w:t>
      </w:r>
      <w:r w:rsidRPr="00AC7D62">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5B7407CC" w14:textId="77777777" w:rsidR="00AB6158" w:rsidRPr="00AC7D62" w:rsidRDefault="00AB6158" w:rsidP="00AB6158">
      <w:pPr>
        <w:rPr>
          <w:b/>
          <w:lang w:val="en-AU" w:eastAsia="en-GB"/>
        </w:rPr>
      </w:pPr>
    </w:p>
    <w:p w14:paraId="0D5BF228" w14:textId="77777777" w:rsidR="00AB6158" w:rsidRPr="00AC7D62" w:rsidRDefault="00AB6158" w:rsidP="00AB6158">
      <w:pPr>
        <w:rPr>
          <w:b/>
          <w:lang w:val="en-AU" w:eastAsia="en-GB"/>
        </w:rPr>
      </w:pPr>
      <w:r w:rsidRPr="00AC7D62">
        <w:rPr>
          <w:b/>
          <w:lang w:val="en-AU" w:eastAsia="en-GB"/>
        </w:rPr>
        <w:t>3.</w:t>
      </w:r>
      <w:r w:rsidRPr="00AC7D62">
        <w:rPr>
          <w:b/>
          <w:lang w:val="en-AU" w:eastAsia="en-GB"/>
        </w:rPr>
        <w:tab/>
        <w:t xml:space="preserve">Purpose </w:t>
      </w:r>
    </w:p>
    <w:p w14:paraId="1B65A23B" w14:textId="77777777" w:rsidR="00AB6158" w:rsidRPr="00AC7D62" w:rsidRDefault="00AB6158" w:rsidP="00AB6158">
      <w:pPr>
        <w:rPr>
          <w:lang w:val="en-AU" w:eastAsia="en-GB"/>
        </w:rPr>
      </w:pPr>
    </w:p>
    <w:p w14:paraId="250D5FAB" w14:textId="77777777" w:rsidR="00AB6158" w:rsidRPr="00AC7D62" w:rsidRDefault="00AB6158" w:rsidP="00AB6158">
      <w:pPr>
        <w:rPr>
          <w:lang w:val="en-AU" w:eastAsia="en-GB"/>
        </w:rPr>
      </w:pPr>
      <w:r w:rsidRPr="00AC7D62">
        <w:rPr>
          <w:lang w:val="en-AU" w:eastAsia="en-GB"/>
        </w:rPr>
        <w:t xml:space="preserve">The Authority has approved a draft variation that amends Standards 1.1.2, 1.2.1 and 2.6.2 of the Code to </w:t>
      </w:r>
      <w:r>
        <w:rPr>
          <w:rFonts w:eastAsia="Calibri" w:cs="Arial"/>
          <w:bCs/>
          <w:lang w:val="en-AU"/>
        </w:rPr>
        <w:t xml:space="preserve">enhance </w:t>
      </w:r>
      <w:r w:rsidRPr="00AC7D62">
        <w:rPr>
          <w:rFonts w:eastAsia="Calibri" w:cs="Arial"/>
          <w:bCs/>
          <w:lang w:val="en-AU"/>
        </w:rPr>
        <w:t>the regulation of the composition and labelling of electrolyte drinks and electrolyte drink bases</w:t>
      </w:r>
      <w:r w:rsidRPr="00AC7D62">
        <w:rPr>
          <w:lang w:val="en-AU" w:eastAsia="en-GB"/>
        </w:rPr>
        <w:t xml:space="preserve">. This includes amending the definition of ‘electrolyte drink’; reducing the minimum level of carbohydrate; and setting out revised </w:t>
      </w:r>
      <w:r w:rsidRPr="00AC7D62">
        <w:t xml:space="preserve">requirements and limitations for </w:t>
      </w:r>
      <w:r>
        <w:t xml:space="preserve">claims </w:t>
      </w:r>
      <w:r w:rsidRPr="00AC7D62">
        <w:rPr>
          <w:lang w:val="en-AU" w:eastAsia="en-GB"/>
        </w:rPr>
        <w:t>that may be made in relation to</w:t>
      </w:r>
      <w:r w:rsidRPr="00AC7D62">
        <w:t xml:space="preserve"> electrolyte drinks and electrolyte drink bases</w:t>
      </w:r>
      <w:r>
        <w:t>, such as</w:t>
      </w:r>
      <w:r w:rsidRPr="00AC7D62">
        <w:t xml:space="preserve"> nutrition content claims and health claims</w:t>
      </w:r>
      <w:r w:rsidRPr="00AC7D62">
        <w:rPr>
          <w:rFonts w:eastAsia="Calibri" w:cs="Arial"/>
          <w:bCs/>
          <w:lang w:val="en-AU"/>
        </w:rPr>
        <w:t xml:space="preserve">. </w:t>
      </w:r>
    </w:p>
    <w:p w14:paraId="0D1BD95F" w14:textId="77777777" w:rsidR="00AB6158" w:rsidRPr="00AC7D62" w:rsidRDefault="00AB6158" w:rsidP="00AB6158">
      <w:pPr>
        <w:rPr>
          <w:lang w:val="en-AU" w:eastAsia="en-GB"/>
        </w:rPr>
      </w:pPr>
    </w:p>
    <w:p w14:paraId="006ED879" w14:textId="77777777" w:rsidR="00AB6158" w:rsidRPr="00AC7D62" w:rsidRDefault="00AB6158" w:rsidP="00AB6158">
      <w:pPr>
        <w:rPr>
          <w:b/>
          <w:lang w:val="en-AU" w:eastAsia="en-GB"/>
        </w:rPr>
      </w:pPr>
      <w:r w:rsidRPr="00AC7D62">
        <w:rPr>
          <w:b/>
          <w:lang w:val="en-AU" w:eastAsia="en-GB"/>
        </w:rPr>
        <w:t>4.</w:t>
      </w:r>
      <w:r w:rsidRPr="00AC7D62">
        <w:rPr>
          <w:b/>
          <w:lang w:val="en-AU" w:eastAsia="en-GB"/>
        </w:rPr>
        <w:tab/>
        <w:t xml:space="preserve">Documents incorporated by reference </w:t>
      </w:r>
    </w:p>
    <w:p w14:paraId="37734DF5" w14:textId="77777777" w:rsidR="00AB6158" w:rsidRPr="00AC7D62" w:rsidRDefault="00AB6158" w:rsidP="00AB6158">
      <w:pPr>
        <w:rPr>
          <w:lang w:val="en-AU" w:eastAsia="en-GB"/>
        </w:rPr>
      </w:pPr>
    </w:p>
    <w:p w14:paraId="5D828C17" w14:textId="77777777" w:rsidR="00AB6158" w:rsidRDefault="00AB6158" w:rsidP="00AB6158">
      <w:pPr>
        <w:autoSpaceDE w:val="0"/>
        <w:autoSpaceDN w:val="0"/>
        <w:adjustRightInd w:val="0"/>
        <w:rPr>
          <w:rFonts w:eastAsia="Calibri" w:cs="Arial"/>
          <w:bCs/>
          <w:lang w:val="en-AU"/>
        </w:rPr>
      </w:pPr>
      <w:r w:rsidRPr="00AC7D62">
        <w:rPr>
          <w:rFonts w:eastAsia="Calibri" w:cs="Arial"/>
          <w:bCs/>
          <w:lang w:val="en-AU"/>
        </w:rPr>
        <w:t xml:space="preserve">The </w:t>
      </w:r>
      <w:r w:rsidRPr="00AC7D62">
        <w:rPr>
          <w:rFonts w:cs="Arial"/>
        </w:rPr>
        <w:t xml:space="preserve">approved draft variation </w:t>
      </w:r>
      <w:r>
        <w:rPr>
          <w:rFonts w:cs="Arial"/>
        </w:rPr>
        <w:t xml:space="preserve">does </w:t>
      </w:r>
      <w:r w:rsidRPr="00AC7D62">
        <w:rPr>
          <w:rFonts w:eastAsia="Calibri" w:cs="Arial"/>
          <w:bCs/>
          <w:lang w:val="en-AU"/>
        </w:rPr>
        <w:t xml:space="preserve">not incorporate any documents by reference. </w:t>
      </w:r>
    </w:p>
    <w:p w14:paraId="74453CB9" w14:textId="77777777" w:rsidR="00AB6158" w:rsidRDefault="00AB6158" w:rsidP="00AB6158">
      <w:pPr>
        <w:autoSpaceDE w:val="0"/>
        <w:autoSpaceDN w:val="0"/>
        <w:adjustRightInd w:val="0"/>
        <w:rPr>
          <w:rFonts w:eastAsia="Calibri" w:cs="Arial"/>
          <w:bCs/>
          <w:lang w:val="en-AU"/>
        </w:rPr>
      </w:pPr>
    </w:p>
    <w:p w14:paraId="1F377467" w14:textId="77777777" w:rsidR="00AB6158" w:rsidRPr="00AC7D62" w:rsidRDefault="00AB6158" w:rsidP="00AB6158">
      <w:pPr>
        <w:rPr>
          <w:b/>
          <w:lang w:val="en-AU" w:eastAsia="en-GB"/>
        </w:rPr>
      </w:pPr>
      <w:r w:rsidRPr="00AC7D62">
        <w:rPr>
          <w:b/>
          <w:lang w:val="en-AU" w:eastAsia="en-GB"/>
        </w:rPr>
        <w:t>5.</w:t>
      </w:r>
      <w:r w:rsidRPr="00AC7D62">
        <w:rPr>
          <w:b/>
          <w:lang w:val="en-AU" w:eastAsia="en-GB"/>
        </w:rPr>
        <w:tab/>
        <w:t>Consultation</w:t>
      </w:r>
    </w:p>
    <w:p w14:paraId="2D795C2D" w14:textId="77777777" w:rsidR="00AB6158" w:rsidRPr="00AC7D62" w:rsidRDefault="00AB6158" w:rsidP="00AB6158">
      <w:pPr>
        <w:rPr>
          <w:lang w:val="en-AU" w:eastAsia="en-GB"/>
        </w:rPr>
      </w:pPr>
    </w:p>
    <w:p w14:paraId="23D1EC23" w14:textId="6243C2F8" w:rsidR="00AB6158" w:rsidRPr="00AC7D62" w:rsidRDefault="0064034F" w:rsidP="00AB6158">
      <w:r>
        <w:rPr>
          <w:rFonts w:eastAsia="Calibri" w:cs="Arial"/>
          <w:bCs/>
          <w:lang w:val="en-AU"/>
        </w:rPr>
        <w:t xml:space="preserve">The </w:t>
      </w:r>
      <w:r w:rsidRPr="00AC7D62">
        <w:rPr>
          <w:rFonts w:eastAsia="Calibri" w:cs="Arial"/>
          <w:bCs/>
          <w:lang w:val="en-AU"/>
        </w:rPr>
        <w:t>Authority</w:t>
      </w:r>
      <w:r w:rsidRPr="00AC7D62">
        <w:t>’s consideration of Proposal P1030 included two rounds of public comment</w:t>
      </w:r>
      <w:r>
        <w:t xml:space="preserve">: a call for submissions issued in </w:t>
      </w:r>
      <w:r w:rsidRPr="00AC7D62">
        <w:t>accordance with the procedure in Divisi</w:t>
      </w:r>
      <w:r>
        <w:t xml:space="preserve">on 2 of Part 3 of the FSANZ Act; and a subsequent public consultation paper. </w:t>
      </w:r>
      <w:r w:rsidR="00FC21D1">
        <w:t>The first detailed</w:t>
      </w:r>
      <w:r>
        <w:t xml:space="preserve"> and sought submissions on</w:t>
      </w:r>
      <w:r w:rsidR="00FC21D1">
        <w:t>:</w:t>
      </w:r>
      <w:r>
        <w:t xml:space="preserve"> </w:t>
      </w:r>
      <w:r w:rsidR="00FC21D1">
        <w:t>the Authority’s assessment; the</w:t>
      </w:r>
      <w:r w:rsidRPr="00AC7D62">
        <w:t xml:space="preserve"> draft </w:t>
      </w:r>
      <w:r>
        <w:t>variation</w:t>
      </w:r>
      <w:r w:rsidRPr="00AC7D62">
        <w:t xml:space="preserve"> </w:t>
      </w:r>
      <w:r w:rsidR="00FC21D1">
        <w:t>prepared as a result of that assessment; a</w:t>
      </w:r>
      <w:r w:rsidRPr="00AC7D62">
        <w:t>nd associated reports</w:t>
      </w:r>
      <w:r w:rsidR="00AB6158" w:rsidRPr="00AC7D62">
        <w:t xml:space="preserve">. </w:t>
      </w:r>
      <w:r w:rsidR="00FC21D1">
        <w:t xml:space="preserve">The second sought submissions on the Authority’s further assessment after consideration of submissions received and on a proposed amended draft variation. </w:t>
      </w:r>
      <w:r w:rsidR="00AB6158" w:rsidRPr="00AC7D62">
        <w:t xml:space="preserve">Submissions were called for on 18 August 2014 and again on 28 May 2021; each for a six-week duration. </w:t>
      </w:r>
    </w:p>
    <w:p w14:paraId="475CC09F" w14:textId="77777777" w:rsidR="00AB6158" w:rsidRPr="00AC7D62" w:rsidRDefault="00AB6158" w:rsidP="00AB6158">
      <w:pPr>
        <w:rPr>
          <w:lang w:val="en-AU"/>
        </w:rPr>
      </w:pPr>
    </w:p>
    <w:p w14:paraId="2CCAFC70" w14:textId="77777777" w:rsidR="00AB6158" w:rsidRPr="00AC7D62" w:rsidRDefault="00AB6158" w:rsidP="00AB6158">
      <w:pPr>
        <w:autoSpaceDE w:val="0"/>
        <w:autoSpaceDN w:val="0"/>
        <w:adjustRightInd w:val="0"/>
        <w:rPr>
          <w:rFonts w:cs="Arial"/>
        </w:rPr>
      </w:pPr>
      <w:r>
        <w:t>The Office of Best Practice Regulation (OBPR) had previously exempted FSANZ from the need to undertake a formal Regulation Impact Statement (RIS) in relation to the regulatory changes proposed in response to the original Proposal (ID: 16662). As the Proposal had undergone significant change in direction since the CFS in 2014, FSANZ sought further advice from the OPBR, who subsequently confirmed they are satisfied that the amendments to the draft variation proposed post CFS are deregulatory and likely to only have a minor effect on consumers, businesses, and government (ID: 43269).</w:t>
      </w:r>
      <w:r w:rsidRPr="00AC7D62">
        <w:t xml:space="preserve"> </w:t>
      </w:r>
    </w:p>
    <w:p w14:paraId="0243307B" w14:textId="77777777" w:rsidR="00AB6158" w:rsidRPr="00AC7D62" w:rsidRDefault="00AB6158" w:rsidP="00AB6158">
      <w:pPr>
        <w:rPr>
          <w:color w:val="FF0000"/>
          <w:lang w:val="en-AU" w:eastAsia="en-GB"/>
        </w:rPr>
      </w:pPr>
    </w:p>
    <w:p w14:paraId="66A77F5A" w14:textId="77777777" w:rsidR="00AB6158" w:rsidRPr="00AC7D62" w:rsidRDefault="00AB6158" w:rsidP="00AB6158">
      <w:pPr>
        <w:rPr>
          <w:rFonts w:eastAsia="Calibri" w:cs="Arial"/>
          <w:b/>
          <w:bCs/>
          <w:lang w:val="en-AU"/>
        </w:rPr>
      </w:pPr>
      <w:r w:rsidRPr="00AC7D62">
        <w:rPr>
          <w:rFonts w:eastAsia="Calibri" w:cs="Arial"/>
          <w:b/>
          <w:bCs/>
          <w:lang w:val="en-AU"/>
        </w:rPr>
        <w:t>6.</w:t>
      </w:r>
      <w:r w:rsidRPr="00AC7D62">
        <w:rPr>
          <w:rFonts w:eastAsia="Calibri" w:cs="Arial"/>
          <w:b/>
          <w:bCs/>
          <w:lang w:val="en-AU"/>
        </w:rPr>
        <w:tab/>
        <w:t>Statement of compatibility with human rights</w:t>
      </w:r>
    </w:p>
    <w:p w14:paraId="42CD8108" w14:textId="77777777" w:rsidR="00AB6158" w:rsidRPr="00AC7D62" w:rsidRDefault="00AB6158" w:rsidP="00AB6158">
      <w:pPr>
        <w:rPr>
          <w:rFonts w:eastAsia="Calibri"/>
          <w:lang w:val="en-AU"/>
        </w:rPr>
      </w:pPr>
    </w:p>
    <w:p w14:paraId="60DBD883" w14:textId="77777777" w:rsidR="00AB6158" w:rsidRPr="00AC7D62" w:rsidRDefault="00AB6158" w:rsidP="00AB6158">
      <w:pPr>
        <w:rPr>
          <w:rFonts w:eastAsia="Calibri"/>
          <w:lang w:val="en-AU"/>
        </w:rPr>
      </w:pPr>
      <w:r w:rsidRPr="00AC7D62">
        <w:rPr>
          <w:rFonts w:eastAsia="Calibri"/>
          <w:lang w:val="en-AU"/>
        </w:rPr>
        <w:t xml:space="preserve">This instrument is exempt from the requirements for a statement of compatibility with human </w:t>
      </w:r>
      <w:r w:rsidRPr="00AC7D62">
        <w:rPr>
          <w:rFonts w:eastAsia="Calibri"/>
          <w:lang w:val="en-AU"/>
        </w:rPr>
        <w:lastRenderedPageBreak/>
        <w:t xml:space="preserve">rights as it is a non-disallowable instrument under section 44 of the </w:t>
      </w:r>
      <w:r w:rsidRPr="00AC7D62">
        <w:rPr>
          <w:rFonts w:eastAsia="Calibri"/>
          <w:i/>
          <w:lang w:val="en-AU"/>
        </w:rPr>
        <w:t>Legislation Act 2003</w:t>
      </w:r>
      <w:r w:rsidRPr="00AC7D62">
        <w:rPr>
          <w:rFonts w:eastAsia="Calibri"/>
          <w:lang w:val="en-AU"/>
        </w:rPr>
        <w:t>.</w:t>
      </w:r>
    </w:p>
    <w:p w14:paraId="6D0DF3CD" w14:textId="77777777" w:rsidR="00AB6158" w:rsidRPr="00AC7D62" w:rsidRDefault="00AB6158" w:rsidP="00AB6158">
      <w:pPr>
        <w:rPr>
          <w:rFonts w:eastAsia="Calibri"/>
          <w:lang w:val="en-AU"/>
        </w:rPr>
      </w:pPr>
    </w:p>
    <w:p w14:paraId="4B4EF3FC" w14:textId="77777777" w:rsidR="00AB6158" w:rsidRPr="00AC7D62" w:rsidRDefault="00AB6158" w:rsidP="00AB6158">
      <w:pPr>
        <w:rPr>
          <w:b/>
          <w:lang w:val="en-AU" w:eastAsia="en-GB"/>
        </w:rPr>
      </w:pPr>
      <w:r w:rsidRPr="00AC7D62">
        <w:rPr>
          <w:b/>
        </w:rPr>
        <w:t>7.</w:t>
      </w:r>
      <w:r w:rsidRPr="00AC7D62">
        <w:rPr>
          <w:b/>
        </w:rPr>
        <w:tab/>
      </w:r>
      <w:r w:rsidRPr="00AC7D62">
        <w:rPr>
          <w:b/>
          <w:lang w:val="en-AU" w:eastAsia="en-GB"/>
        </w:rPr>
        <w:t>Variation</w:t>
      </w:r>
    </w:p>
    <w:p w14:paraId="2EF2F5C5" w14:textId="77777777" w:rsidR="00AB6158" w:rsidRDefault="00AB6158" w:rsidP="00AB6158">
      <w:pPr>
        <w:rPr>
          <w:b/>
        </w:rPr>
      </w:pPr>
    </w:p>
    <w:p w14:paraId="39CB5DA2" w14:textId="77777777" w:rsidR="00AB6158" w:rsidRDefault="00AB6158" w:rsidP="00AB6158">
      <w:r w:rsidRPr="003138F7">
        <w:rPr>
          <w:b/>
        </w:rPr>
        <w:t>Standard 1.1.2 – Definitions used throughout the Code</w:t>
      </w:r>
      <w:r>
        <w:t xml:space="preserve"> </w:t>
      </w:r>
    </w:p>
    <w:p w14:paraId="49D3EC3D" w14:textId="77777777" w:rsidR="00AB6158" w:rsidRDefault="00AB6158" w:rsidP="00AB6158"/>
    <w:p w14:paraId="621AB893" w14:textId="77777777" w:rsidR="00AB6158" w:rsidRDefault="00AB6158" w:rsidP="00AB6158">
      <w:r w:rsidRPr="003138F7">
        <w:rPr>
          <w:b/>
        </w:rPr>
        <w:t>Item [1]</w:t>
      </w:r>
      <w:r>
        <w:t xml:space="preserve"> of the Schedule to the variation amends the definition of ‘electrolyte drink’ in subsection 1.1.2—3(2). </w:t>
      </w:r>
    </w:p>
    <w:p w14:paraId="3627C621" w14:textId="77777777" w:rsidR="00AB6158" w:rsidRDefault="00AB6158" w:rsidP="00AB6158"/>
    <w:p w14:paraId="2EE8BAF4" w14:textId="77777777" w:rsidR="00AB6158" w:rsidRDefault="00AB6158" w:rsidP="00AB6158">
      <w:r>
        <w:t xml:space="preserve">The new definition is: </w:t>
      </w:r>
    </w:p>
    <w:p w14:paraId="3158E9C0" w14:textId="77777777" w:rsidR="00AB6158" w:rsidRDefault="00AB6158" w:rsidP="00AB6158"/>
    <w:p w14:paraId="3B0C2CB0" w14:textId="77777777" w:rsidR="00AB6158" w:rsidRDefault="00AB6158" w:rsidP="00AB6158">
      <w:pPr>
        <w:ind w:left="567"/>
      </w:pPr>
      <w:r>
        <w:t>‘</w:t>
      </w:r>
      <w:r w:rsidRPr="00DF3B82">
        <w:rPr>
          <w:b/>
          <w:i/>
        </w:rPr>
        <w:t>electrolyte drink</w:t>
      </w:r>
      <w:r>
        <w:t xml:space="preserve"> means </w:t>
      </w:r>
      <w:r w:rsidRPr="00391B3A">
        <w:t>a drink formulated for the rapid replacement of fluid, carbohydrate and electrolytes during or after 60 minutes or more of sustai</w:t>
      </w:r>
      <w:r>
        <w:t>ned strenuous physical activity.’</w:t>
      </w:r>
    </w:p>
    <w:p w14:paraId="5D1B2FC8" w14:textId="77777777" w:rsidR="00AB6158" w:rsidRDefault="00AB6158" w:rsidP="00AB6158"/>
    <w:p w14:paraId="7704EF4F" w14:textId="77777777" w:rsidR="00AB6158" w:rsidRDefault="00AB6158" w:rsidP="00AB6158">
      <w:pPr>
        <w:rPr>
          <w:b/>
        </w:rPr>
      </w:pPr>
      <w:r w:rsidRPr="003E08BF">
        <w:rPr>
          <w:b/>
        </w:rPr>
        <w:t xml:space="preserve">Standard 1.2.1 – Requirements to have labels or otherwise provide information </w:t>
      </w:r>
    </w:p>
    <w:p w14:paraId="135D99DF" w14:textId="77777777" w:rsidR="00AB6158" w:rsidRDefault="00AB6158" w:rsidP="00AB6158">
      <w:pPr>
        <w:rPr>
          <w:b/>
        </w:rPr>
      </w:pPr>
    </w:p>
    <w:p w14:paraId="08E4B058" w14:textId="62CAA06A" w:rsidR="00AB6158" w:rsidRDefault="00AB6158" w:rsidP="00AB6158">
      <w:r w:rsidRPr="003E08BF">
        <w:rPr>
          <w:b/>
        </w:rPr>
        <w:t xml:space="preserve">Item [2] </w:t>
      </w:r>
      <w:r w:rsidR="00202D98">
        <w:t xml:space="preserve">of the Schedule to the variation </w:t>
      </w:r>
      <w:r w:rsidRPr="003E08BF">
        <w:t xml:space="preserve">amends Standard 1.2.1. The item amends the reference in paragraph 1.2.1—8(1)(t) to </w:t>
      </w:r>
      <w:r>
        <w:t xml:space="preserve">declarations and </w:t>
      </w:r>
      <w:r w:rsidRPr="003E08BF">
        <w:t xml:space="preserve">information requirements in Standard 2.6.2 for electrolyte drinks and electrolyte drink bases as a consequence of amendments made to Standard 2.6.2 (see </w:t>
      </w:r>
      <w:r w:rsidRPr="003E08BF">
        <w:rPr>
          <w:b/>
        </w:rPr>
        <w:t>item [3]</w:t>
      </w:r>
      <w:r w:rsidRPr="003E08BF">
        <w:t xml:space="preserve"> below), including the numbering of relevant provisions in that Standard.</w:t>
      </w:r>
    </w:p>
    <w:p w14:paraId="484DD983" w14:textId="77777777" w:rsidR="00AB6158" w:rsidRDefault="00AB6158" w:rsidP="00AB6158"/>
    <w:p w14:paraId="6D9E639C" w14:textId="77777777" w:rsidR="00AB6158" w:rsidRPr="000D1C88" w:rsidRDefault="00AB6158" w:rsidP="00AB6158">
      <w:pPr>
        <w:rPr>
          <w:b/>
        </w:rPr>
      </w:pPr>
      <w:r w:rsidRPr="000D1C88">
        <w:rPr>
          <w:b/>
        </w:rPr>
        <w:t xml:space="preserve">Standard 2.6.2 – Non-alcoholic beverages and brewed soft drinks </w:t>
      </w:r>
    </w:p>
    <w:p w14:paraId="70603C86" w14:textId="77777777" w:rsidR="00AB6158" w:rsidRDefault="00AB6158" w:rsidP="00AB6158"/>
    <w:p w14:paraId="36FECD67" w14:textId="00AFE27F" w:rsidR="00AB6158" w:rsidRDefault="00AB6158" w:rsidP="00AB6158">
      <w:r w:rsidRPr="000D1C88">
        <w:rPr>
          <w:b/>
        </w:rPr>
        <w:t>Item [3]</w:t>
      </w:r>
      <w:r>
        <w:t xml:space="preserve"> </w:t>
      </w:r>
      <w:r w:rsidR="0088526B">
        <w:t xml:space="preserve">of the Schedule to the variation </w:t>
      </w:r>
      <w:r>
        <w:t>amends Standard 2.6.2 as follows.</w:t>
      </w:r>
    </w:p>
    <w:p w14:paraId="681AB179" w14:textId="77777777" w:rsidR="00AB6158" w:rsidRDefault="00AB6158" w:rsidP="00AB6158"/>
    <w:p w14:paraId="63174C9E" w14:textId="77777777" w:rsidR="00AB6158" w:rsidRDefault="00AB6158" w:rsidP="00AB6158">
      <w:r w:rsidRPr="002C76E1">
        <w:rPr>
          <w:b/>
        </w:rPr>
        <w:t>Subitem [3.1]</w:t>
      </w:r>
      <w:r>
        <w:t xml:space="preserve"> inserts the heading of the first of four new Divisions in Standard 2.6.2 after </w:t>
      </w:r>
      <w:r w:rsidRPr="009B4595">
        <w:rPr>
          <w:i/>
        </w:rPr>
        <w:t>Note 2</w:t>
      </w:r>
      <w:r>
        <w:t xml:space="preserve"> to that Standard: ‘</w:t>
      </w:r>
      <w:r w:rsidRPr="00B46796">
        <w:rPr>
          <w:b/>
        </w:rPr>
        <w:t>Division 1 Preliminary</w:t>
      </w:r>
      <w:r>
        <w:t>’. Division 1 encompasses sections 2.6.2—1 and 2.6.2—2.</w:t>
      </w:r>
    </w:p>
    <w:p w14:paraId="0FE32530" w14:textId="77777777" w:rsidR="00AB6158" w:rsidRDefault="00AB6158" w:rsidP="00AB6158"/>
    <w:p w14:paraId="18166979" w14:textId="77777777" w:rsidR="00AB6158" w:rsidRDefault="00AB6158" w:rsidP="00AB6158">
      <w:r w:rsidRPr="00D47698">
        <w:rPr>
          <w:b/>
        </w:rPr>
        <w:t>Subitem [3.2]</w:t>
      </w:r>
      <w:r>
        <w:t xml:space="preserve"> replaces section 2.6.2—2 with a new section containing three new </w:t>
      </w:r>
      <w:r w:rsidRPr="008865A0">
        <w:rPr>
          <w:i/>
        </w:rPr>
        <w:t>Notes</w:t>
      </w:r>
      <w:r>
        <w:t>, each of which sets out the definitions of certain terms from sections 1.1.2—2, 1.1.2—3 and 1.1.2—9 respectively.</w:t>
      </w:r>
    </w:p>
    <w:p w14:paraId="2ED901ED" w14:textId="77777777" w:rsidR="00AB6158" w:rsidRDefault="00AB6158" w:rsidP="00AB6158"/>
    <w:p w14:paraId="562BB910" w14:textId="77777777" w:rsidR="00AB6158" w:rsidRDefault="00AB6158" w:rsidP="00AB6158">
      <w:r>
        <w:t>This subitem also inserts the following Division heading after section 2.6.2—2: ‘</w:t>
      </w:r>
      <w:r w:rsidRPr="00565870">
        <w:rPr>
          <w:b/>
        </w:rPr>
        <w:t>Division 2 Packaged water</w:t>
      </w:r>
      <w:r>
        <w:t>’. Division 2 encompasses sections 2.6.2—3 to 2.6.2—5 inclusive.</w:t>
      </w:r>
    </w:p>
    <w:p w14:paraId="66677E17" w14:textId="77777777" w:rsidR="00AB6158" w:rsidRDefault="00AB6158" w:rsidP="00AB6158"/>
    <w:p w14:paraId="2B5D2C0C" w14:textId="44A94B93" w:rsidR="00AB6158" w:rsidRDefault="00AB6158" w:rsidP="00AB6158">
      <w:r w:rsidRPr="00966F8F">
        <w:rPr>
          <w:b/>
        </w:rPr>
        <w:t>Subitem [3.3]</w:t>
      </w:r>
      <w:r>
        <w:t xml:space="preserve"> inserts the following Division heading after section 2.6.2—5: ‘</w:t>
      </w:r>
      <w:r w:rsidRPr="00966F8F">
        <w:rPr>
          <w:b/>
        </w:rPr>
        <w:t>Division 3 Non</w:t>
      </w:r>
      <w:r w:rsidR="00945557">
        <w:rPr>
          <w:b/>
        </w:rPr>
        <w:t>-</w:t>
      </w:r>
      <w:r w:rsidRPr="00966F8F">
        <w:rPr>
          <w:b/>
        </w:rPr>
        <w:t>alcoholic beverages and brewed soft drinks</w:t>
      </w:r>
      <w:r>
        <w:t>’. Division 3 encompasses sections 2.6.2—6 to 2.6.2—9 inclusive.</w:t>
      </w:r>
    </w:p>
    <w:p w14:paraId="306F8D38" w14:textId="77777777" w:rsidR="00AB6158" w:rsidRDefault="00AB6158" w:rsidP="00AB6158"/>
    <w:p w14:paraId="42897469" w14:textId="72DE82AD" w:rsidR="00AB6158" w:rsidRDefault="00AB6158" w:rsidP="00AB6158">
      <w:r w:rsidRPr="00004D82">
        <w:rPr>
          <w:b/>
        </w:rPr>
        <w:t>Subitem [3.4]</w:t>
      </w:r>
      <w:r>
        <w:t xml:space="preserve"> replaces sections 2.6.2—9 to 2.6.2—13 inclusive, with new provisions</w:t>
      </w:r>
      <w:r w:rsidR="00087973">
        <w:t>:</w:t>
      </w:r>
      <w:r>
        <w:t xml:space="preserve"> sections 2.6.2—9 to 2.6.2—18.</w:t>
      </w:r>
    </w:p>
    <w:p w14:paraId="2E43BC88" w14:textId="77777777" w:rsidR="00AB6158" w:rsidRDefault="00AB6158" w:rsidP="00AB6158"/>
    <w:p w14:paraId="77A485D2" w14:textId="77777777" w:rsidR="00AB6158" w:rsidRDefault="00AB6158" w:rsidP="00AB6158">
      <w:r w:rsidRPr="008248C8">
        <w:rPr>
          <w:i/>
        </w:rPr>
        <w:t>Section 2.6.2—9</w:t>
      </w:r>
      <w:r>
        <w:t xml:space="preserve"> requires that a food sold as a formulated beverage must be a formulated beverage. This is the same requirement as currently set out in section 2.6.2—13. As a formulated beverage is a non-alcoholic beverage, section 2.6.2—13 was moved up in the Standard (and renumbered accordingly) to be located with other provisions relating to non-alcoholic beverages and brewed soft drinks in Division 3 of the Standard.</w:t>
      </w:r>
    </w:p>
    <w:p w14:paraId="7DAEB003" w14:textId="77777777" w:rsidR="00AB6158" w:rsidRDefault="00AB6158" w:rsidP="00AB6158"/>
    <w:p w14:paraId="31A3647E" w14:textId="77777777" w:rsidR="00AB6158" w:rsidRDefault="00AB6158" w:rsidP="00AB6158">
      <w:r>
        <w:t>This subitem also inserts the following Division heading after section 2.6.2—9: ‘</w:t>
      </w:r>
      <w:r w:rsidRPr="004A7EC1">
        <w:rPr>
          <w:i/>
        </w:rPr>
        <w:t>Division 4 Electrolyte drinks and electrolyte drink bases</w:t>
      </w:r>
      <w:r>
        <w:t xml:space="preserve">’. Division 4 encompasses sections 2.6.2— 10 to 2.6.2—18 inclusive. </w:t>
      </w:r>
    </w:p>
    <w:p w14:paraId="645303EC" w14:textId="77777777" w:rsidR="00AB6158" w:rsidRDefault="00AB6158" w:rsidP="00AB6158"/>
    <w:p w14:paraId="5FCA5FE1" w14:textId="77777777" w:rsidR="00AB6158" w:rsidRDefault="00AB6158" w:rsidP="00AB6158">
      <w:r w:rsidRPr="004A7EC1">
        <w:rPr>
          <w:i/>
        </w:rPr>
        <w:lastRenderedPageBreak/>
        <w:t>Section 2.6.2—10</w:t>
      </w:r>
      <w:r>
        <w:t xml:space="preserve"> contains the following preliminary provisions applying to electrolyte drinks and electrolyte drink bases.</w:t>
      </w:r>
    </w:p>
    <w:p w14:paraId="71CD3132" w14:textId="77777777" w:rsidR="00AB6158" w:rsidRDefault="00AB6158" w:rsidP="00AB6158"/>
    <w:p w14:paraId="67E55208" w14:textId="77777777" w:rsidR="00AB6158" w:rsidRPr="009275A4" w:rsidRDefault="00AB6158" w:rsidP="00AB6158">
      <w:r w:rsidRPr="009275A4">
        <w:t>Subsection 2.6.2—10(1) sets out the definition of ‘prescribed electrolyte’ for the purposes of</w:t>
      </w:r>
    </w:p>
    <w:p w14:paraId="6388FB4F" w14:textId="77777777" w:rsidR="00AB6158" w:rsidRDefault="00AB6158" w:rsidP="00AB6158">
      <w:r w:rsidRPr="009275A4">
        <w:t>Division 4. ‘Prescribed electrolyte’ means any of the following:</w:t>
      </w:r>
    </w:p>
    <w:p w14:paraId="191DEFF3" w14:textId="77777777" w:rsidR="00AB6158" w:rsidRPr="009275A4" w:rsidRDefault="00AB6158" w:rsidP="00AB6158"/>
    <w:p w14:paraId="2C8B067C" w14:textId="77777777" w:rsidR="00AB6158" w:rsidRPr="009275A4" w:rsidRDefault="00AB6158" w:rsidP="00AB6158">
      <w:pPr>
        <w:pStyle w:val="ListParagraph"/>
        <w:numPr>
          <w:ilvl w:val="0"/>
          <w:numId w:val="35"/>
        </w:numPr>
      </w:pPr>
      <w:r w:rsidRPr="009275A4">
        <w:t>sodium;</w:t>
      </w:r>
    </w:p>
    <w:p w14:paraId="6C848847" w14:textId="77777777" w:rsidR="00AB6158" w:rsidRPr="009275A4" w:rsidRDefault="00AB6158" w:rsidP="00AB6158">
      <w:pPr>
        <w:pStyle w:val="ListParagraph"/>
        <w:numPr>
          <w:ilvl w:val="0"/>
          <w:numId w:val="35"/>
        </w:numPr>
      </w:pPr>
      <w:r w:rsidRPr="009275A4">
        <w:t>potassium;</w:t>
      </w:r>
    </w:p>
    <w:p w14:paraId="336D05B4" w14:textId="77777777" w:rsidR="00AB6158" w:rsidRPr="009275A4" w:rsidRDefault="00AB6158" w:rsidP="00AB6158">
      <w:pPr>
        <w:pStyle w:val="ListParagraph"/>
        <w:numPr>
          <w:ilvl w:val="0"/>
          <w:numId w:val="35"/>
        </w:numPr>
      </w:pPr>
      <w:r w:rsidRPr="009275A4">
        <w:t>calcium;</w:t>
      </w:r>
    </w:p>
    <w:p w14:paraId="7880923E" w14:textId="77777777" w:rsidR="00AB6158" w:rsidRPr="009275A4" w:rsidRDefault="00AB6158" w:rsidP="00AB6158">
      <w:pPr>
        <w:pStyle w:val="ListParagraph"/>
        <w:numPr>
          <w:ilvl w:val="0"/>
          <w:numId w:val="35"/>
        </w:numPr>
      </w:pPr>
      <w:r w:rsidRPr="009275A4">
        <w:t>magnesium;</w:t>
      </w:r>
    </w:p>
    <w:p w14:paraId="77775C24" w14:textId="77777777" w:rsidR="00AB6158" w:rsidRPr="009275A4" w:rsidRDefault="00AB6158" w:rsidP="00AB6158">
      <w:pPr>
        <w:pStyle w:val="ListParagraph"/>
        <w:numPr>
          <w:ilvl w:val="0"/>
          <w:numId w:val="35"/>
        </w:numPr>
      </w:pPr>
      <w:r w:rsidRPr="009275A4">
        <w:t>chloride.</w:t>
      </w:r>
    </w:p>
    <w:p w14:paraId="3916C897" w14:textId="77777777" w:rsidR="00AB6158" w:rsidRPr="009275A4" w:rsidRDefault="00AB6158" w:rsidP="00AB6158"/>
    <w:p w14:paraId="3A1A17E8" w14:textId="77777777" w:rsidR="00AB6158" w:rsidRPr="009275A4" w:rsidRDefault="00AB6158" w:rsidP="00AB6158">
      <w:r w:rsidRPr="009275A4">
        <w:t>This definition has been provided because some of the substances listed as ‘prescribed</w:t>
      </w:r>
    </w:p>
    <w:p w14:paraId="1613EAF6" w14:textId="77777777" w:rsidR="00AB6158" w:rsidRDefault="00AB6158" w:rsidP="00AB6158">
      <w:r w:rsidRPr="009275A4">
        <w:t xml:space="preserve">electrolytes’ for the purposes of Division 4 are also ‘minerals’ for the purposes of </w:t>
      </w:r>
      <w:r>
        <w:t>re</w:t>
      </w:r>
      <w:r w:rsidRPr="009275A4">
        <w:t>quirements</w:t>
      </w:r>
      <w:r>
        <w:t xml:space="preserve"> </w:t>
      </w:r>
      <w:r w:rsidRPr="009275A4">
        <w:t>elsewhere in the Code.</w:t>
      </w:r>
    </w:p>
    <w:p w14:paraId="1529A461" w14:textId="77777777" w:rsidR="00AB6158" w:rsidRDefault="00AB6158" w:rsidP="00AB6158"/>
    <w:p w14:paraId="7993DBE0" w14:textId="77777777" w:rsidR="00AB6158" w:rsidRDefault="00AB6158" w:rsidP="00AB6158">
      <w:r>
        <w:t xml:space="preserve">Subsection 2.6.2—10(2) clarifies that for an electrolyte drink base, the compositional and declaration requirements in Division 4 apply to the electrolyte drink base as </w:t>
      </w:r>
      <w:r w:rsidRPr="004A2250">
        <w:rPr>
          <w:u w:val="single"/>
        </w:rPr>
        <w:t>ready to drink</w:t>
      </w:r>
      <w:r>
        <w:t>.</w:t>
      </w:r>
    </w:p>
    <w:p w14:paraId="38671AE2" w14:textId="77777777" w:rsidR="00AB6158" w:rsidRDefault="00AB6158" w:rsidP="00AB6158"/>
    <w:p w14:paraId="667F2957" w14:textId="77777777" w:rsidR="00AB6158" w:rsidRDefault="00AB6158" w:rsidP="00AB6158">
      <w:r w:rsidRPr="00843F63">
        <w:rPr>
          <w:i/>
        </w:rPr>
        <w:t>Section 2.6.2—11</w:t>
      </w:r>
      <w:r>
        <w:t xml:space="preserve"> sets out the following compositional requirements for electrolyte drinks and electrolyte drink bases.</w:t>
      </w:r>
    </w:p>
    <w:p w14:paraId="3761D542" w14:textId="77777777" w:rsidR="00AB6158" w:rsidRDefault="00AB6158" w:rsidP="00AB6158"/>
    <w:p w14:paraId="3F3F18F9" w14:textId="77777777" w:rsidR="00AB6158" w:rsidRDefault="00AB6158" w:rsidP="00AB6158">
      <w:r>
        <w:t>Subsection 2.6.2—11(1) requires that a food sold as an electrolyte drink or an electrolyte drink base must be an electrolyte drink or an electrolyte drink base respectively.</w:t>
      </w:r>
    </w:p>
    <w:p w14:paraId="72ADD3AF" w14:textId="77777777" w:rsidR="00AB6158" w:rsidRDefault="00AB6158" w:rsidP="00AB6158"/>
    <w:p w14:paraId="119EC881" w14:textId="77777777" w:rsidR="00AB6158" w:rsidRPr="00F13961" w:rsidRDefault="00AB6158" w:rsidP="00AB6158">
      <w:r w:rsidRPr="00F13961">
        <w:t xml:space="preserve">Subsection 2.6.2—11(2) </w:t>
      </w:r>
      <w:r>
        <w:t xml:space="preserve">sets out the mandatory compositional requirements for electrolyte drinks and electrolyte drink bases. This subsection </w:t>
      </w:r>
      <w:r w:rsidRPr="00F13961">
        <w:t>requires that an electrolyte drink or electrolyte drink base must</w:t>
      </w:r>
      <w:r>
        <w:t xml:space="preserve"> </w:t>
      </w:r>
      <w:r w:rsidRPr="00F13961">
        <w:t>contain:</w:t>
      </w:r>
    </w:p>
    <w:p w14:paraId="13F7FF27" w14:textId="77777777" w:rsidR="00247ACB" w:rsidRPr="00F13961" w:rsidRDefault="00247ACB" w:rsidP="00AB6158"/>
    <w:p w14:paraId="137EADF2" w14:textId="77777777" w:rsidR="00AB6158" w:rsidRPr="00F13961" w:rsidRDefault="00AB6158" w:rsidP="00AB6158">
      <w:pPr>
        <w:pStyle w:val="ListParagraph"/>
        <w:numPr>
          <w:ilvl w:val="0"/>
          <w:numId w:val="35"/>
        </w:numPr>
      </w:pPr>
      <w:r w:rsidRPr="00F13961">
        <w:t>no less than 10 mmol/L of sodium; and</w:t>
      </w:r>
    </w:p>
    <w:p w14:paraId="7DE3CF6A" w14:textId="77777777" w:rsidR="00AB6158" w:rsidRPr="00F13961" w:rsidRDefault="00AB6158" w:rsidP="00AB6158">
      <w:pPr>
        <w:pStyle w:val="ListParagraph"/>
        <w:numPr>
          <w:ilvl w:val="0"/>
          <w:numId w:val="35"/>
        </w:numPr>
      </w:pPr>
      <w:r w:rsidRPr="00F13961">
        <w:t>no less than 20 g/L and no more than 100 g/L in total of the following:</w:t>
      </w:r>
    </w:p>
    <w:p w14:paraId="2798FFAF" w14:textId="77777777" w:rsidR="00AB6158" w:rsidRPr="00F13961" w:rsidRDefault="00AB6158" w:rsidP="00AB6158">
      <w:pPr>
        <w:pStyle w:val="ListParagraph"/>
        <w:numPr>
          <w:ilvl w:val="0"/>
          <w:numId w:val="36"/>
        </w:numPr>
      </w:pPr>
      <w:r w:rsidRPr="00F13961">
        <w:t>dextrose;</w:t>
      </w:r>
    </w:p>
    <w:p w14:paraId="33959EE3" w14:textId="77777777" w:rsidR="00AB6158" w:rsidRPr="00F13961" w:rsidRDefault="00AB6158" w:rsidP="00AB6158">
      <w:pPr>
        <w:pStyle w:val="ListParagraph"/>
        <w:numPr>
          <w:ilvl w:val="0"/>
          <w:numId w:val="36"/>
        </w:numPr>
      </w:pPr>
      <w:r w:rsidRPr="00F13961">
        <w:t>fructose;</w:t>
      </w:r>
    </w:p>
    <w:p w14:paraId="0DFD3ACB" w14:textId="77777777" w:rsidR="00AB6158" w:rsidRPr="00F13961" w:rsidRDefault="00AB6158" w:rsidP="00AB6158">
      <w:pPr>
        <w:pStyle w:val="ListParagraph"/>
        <w:numPr>
          <w:ilvl w:val="0"/>
          <w:numId w:val="36"/>
        </w:numPr>
      </w:pPr>
      <w:r w:rsidRPr="00F13961">
        <w:t>glucose syrup;</w:t>
      </w:r>
    </w:p>
    <w:p w14:paraId="46C5266F" w14:textId="77777777" w:rsidR="00AB6158" w:rsidRPr="00F13961" w:rsidRDefault="00AB6158" w:rsidP="00AB6158">
      <w:pPr>
        <w:pStyle w:val="ListParagraph"/>
        <w:numPr>
          <w:ilvl w:val="0"/>
          <w:numId w:val="36"/>
        </w:numPr>
      </w:pPr>
      <w:r w:rsidRPr="00F13961">
        <w:t>maltodextrin;</w:t>
      </w:r>
    </w:p>
    <w:p w14:paraId="14603C01" w14:textId="77777777" w:rsidR="00AB6158" w:rsidRPr="00F13961" w:rsidRDefault="00AB6158" w:rsidP="00AB6158">
      <w:pPr>
        <w:pStyle w:val="ListParagraph"/>
        <w:numPr>
          <w:ilvl w:val="0"/>
          <w:numId w:val="36"/>
        </w:numPr>
      </w:pPr>
      <w:r w:rsidRPr="00F13961">
        <w:t>sucrose; and</w:t>
      </w:r>
    </w:p>
    <w:p w14:paraId="4AEAB75F" w14:textId="77777777" w:rsidR="00AB6158" w:rsidRDefault="00AB6158" w:rsidP="00AB6158">
      <w:pPr>
        <w:pStyle w:val="ListParagraph"/>
        <w:numPr>
          <w:ilvl w:val="0"/>
          <w:numId w:val="35"/>
        </w:numPr>
      </w:pPr>
      <w:r w:rsidRPr="003644D3">
        <w:t xml:space="preserve">no more than 50% of total carbohydrate as </w:t>
      </w:r>
      <w:r w:rsidRPr="00F13961">
        <w:t>fructose.</w:t>
      </w:r>
    </w:p>
    <w:p w14:paraId="29899C84" w14:textId="77777777" w:rsidR="00AB6158" w:rsidRDefault="00AB6158" w:rsidP="00AB6158"/>
    <w:p w14:paraId="1F46481A" w14:textId="77777777" w:rsidR="00AB6158" w:rsidRDefault="00AB6158" w:rsidP="00AB6158">
      <w:r>
        <w:t>Subsection 2.6.2—11(3) sets out the discretionary compositional requirements for electrolyte drinks and electrolyte drink bases. This subsection allows an electrolyte drink or electrolyte drink base to contain:</w:t>
      </w:r>
    </w:p>
    <w:p w14:paraId="6648C03F" w14:textId="77777777" w:rsidR="00AB6158" w:rsidRDefault="00AB6158" w:rsidP="00AB6158"/>
    <w:p w14:paraId="10041093" w14:textId="77777777" w:rsidR="00AB6158" w:rsidRPr="00CE1DD9" w:rsidRDefault="00AB6158" w:rsidP="00AB6158">
      <w:pPr>
        <w:pStyle w:val="ListParagraph"/>
        <w:numPr>
          <w:ilvl w:val="0"/>
          <w:numId w:val="35"/>
        </w:numPr>
      </w:pPr>
      <w:r w:rsidRPr="00CE1DD9">
        <w:t>calcium phosphates;</w:t>
      </w:r>
    </w:p>
    <w:p w14:paraId="06FC8929" w14:textId="77777777" w:rsidR="00AB6158" w:rsidRPr="00CE1DD9" w:rsidRDefault="00AB6158" w:rsidP="00AB6158">
      <w:pPr>
        <w:pStyle w:val="ListParagraph"/>
        <w:numPr>
          <w:ilvl w:val="0"/>
          <w:numId w:val="35"/>
        </w:numPr>
      </w:pPr>
      <w:r w:rsidRPr="00CE1DD9">
        <w:t>potassium phosphates;</w:t>
      </w:r>
    </w:p>
    <w:p w14:paraId="21268E63" w14:textId="77777777" w:rsidR="00AB6158" w:rsidRPr="00CE1DD9" w:rsidRDefault="00AB6158" w:rsidP="00AB6158">
      <w:pPr>
        <w:pStyle w:val="ListParagraph"/>
        <w:numPr>
          <w:ilvl w:val="0"/>
          <w:numId w:val="35"/>
        </w:numPr>
      </w:pPr>
      <w:r w:rsidRPr="00CE1DD9">
        <w:t>calcium citrates;</w:t>
      </w:r>
    </w:p>
    <w:p w14:paraId="5F31310C" w14:textId="77777777" w:rsidR="00AB6158" w:rsidRPr="00CE1DD9" w:rsidRDefault="00AB6158" w:rsidP="00AB6158">
      <w:pPr>
        <w:pStyle w:val="ListParagraph"/>
        <w:numPr>
          <w:ilvl w:val="0"/>
          <w:numId w:val="35"/>
        </w:numPr>
      </w:pPr>
      <w:r w:rsidRPr="00CE1DD9">
        <w:t>potassium citrates;</w:t>
      </w:r>
    </w:p>
    <w:p w14:paraId="7D338554" w14:textId="77777777" w:rsidR="00AB6158" w:rsidRPr="00CE1DD9" w:rsidRDefault="00AB6158" w:rsidP="00AB6158">
      <w:pPr>
        <w:pStyle w:val="ListParagraph"/>
        <w:numPr>
          <w:ilvl w:val="0"/>
          <w:numId w:val="35"/>
        </w:numPr>
      </w:pPr>
      <w:r w:rsidRPr="00CE1DD9">
        <w:t>sodium citrates;</w:t>
      </w:r>
    </w:p>
    <w:p w14:paraId="3C8EDDE7" w14:textId="77777777" w:rsidR="00AB6158" w:rsidRPr="00CE1DD9" w:rsidRDefault="00AB6158" w:rsidP="00AB6158">
      <w:pPr>
        <w:pStyle w:val="ListParagraph"/>
        <w:numPr>
          <w:ilvl w:val="0"/>
          <w:numId w:val="35"/>
        </w:numPr>
      </w:pPr>
      <w:r w:rsidRPr="00CE1DD9">
        <w:t>potassium carbonates, including potassium bicarbonate;</w:t>
      </w:r>
    </w:p>
    <w:p w14:paraId="4FE3C075" w14:textId="77777777" w:rsidR="00AB6158" w:rsidRPr="00CE1DD9" w:rsidRDefault="00AB6158" w:rsidP="00AB6158">
      <w:pPr>
        <w:pStyle w:val="ListParagraph"/>
        <w:numPr>
          <w:ilvl w:val="0"/>
          <w:numId w:val="35"/>
        </w:numPr>
      </w:pPr>
      <w:r w:rsidRPr="00CE1DD9">
        <w:t>potassium chloride;</w:t>
      </w:r>
    </w:p>
    <w:p w14:paraId="6F5B24AA" w14:textId="77777777" w:rsidR="00AB6158" w:rsidRPr="00CE1DD9" w:rsidRDefault="00AB6158" w:rsidP="00AB6158">
      <w:pPr>
        <w:pStyle w:val="ListParagraph"/>
        <w:numPr>
          <w:ilvl w:val="0"/>
          <w:numId w:val="35"/>
        </w:numPr>
      </w:pPr>
      <w:r w:rsidRPr="00CE1DD9">
        <w:t>calcium chloride;</w:t>
      </w:r>
    </w:p>
    <w:p w14:paraId="169A77A2" w14:textId="77777777" w:rsidR="00AB6158" w:rsidRPr="00CE1DD9" w:rsidRDefault="00AB6158" w:rsidP="00AB6158">
      <w:pPr>
        <w:pStyle w:val="ListParagraph"/>
        <w:numPr>
          <w:ilvl w:val="0"/>
          <w:numId w:val="35"/>
        </w:numPr>
      </w:pPr>
      <w:r w:rsidRPr="00CE1DD9">
        <w:t>sodium chloride;</w:t>
      </w:r>
    </w:p>
    <w:p w14:paraId="3EEC4EA7" w14:textId="77777777" w:rsidR="00AB6158" w:rsidRPr="00CE1DD9" w:rsidRDefault="00AB6158" w:rsidP="00AB6158">
      <w:pPr>
        <w:pStyle w:val="ListParagraph"/>
        <w:numPr>
          <w:ilvl w:val="0"/>
          <w:numId w:val="35"/>
        </w:numPr>
      </w:pPr>
      <w:r w:rsidRPr="00CE1DD9">
        <w:t>calcium lactate;</w:t>
      </w:r>
    </w:p>
    <w:p w14:paraId="0A923D7B" w14:textId="77777777" w:rsidR="00AB6158" w:rsidRPr="00CE1DD9" w:rsidRDefault="00AB6158" w:rsidP="00AB6158">
      <w:pPr>
        <w:pStyle w:val="ListParagraph"/>
        <w:numPr>
          <w:ilvl w:val="0"/>
          <w:numId w:val="35"/>
        </w:numPr>
      </w:pPr>
      <w:r w:rsidRPr="00CE1DD9">
        <w:t>magnesium lactate;</w:t>
      </w:r>
    </w:p>
    <w:p w14:paraId="274D3EDF" w14:textId="77777777" w:rsidR="00AB6158" w:rsidRDefault="00AB6158" w:rsidP="00AB6158">
      <w:pPr>
        <w:pStyle w:val="ListParagraph"/>
        <w:numPr>
          <w:ilvl w:val="0"/>
          <w:numId w:val="35"/>
        </w:numPr>
      </w:pPr>
      <w:r w:rsidRPr="00CE1DD9">
        <w:lastRenderedPageBreak/>
        <w:t>magnesium sulphate.</w:t>
      </w:r>
    </w:p>
    <w:p w14:paraId="5971CAC6" w14:textId="77777777" w:rsidR="00AB6158" w:rsidRDefault="00AB6158" w:rsidP="00AB6158"/>
    <w:p w14:paraId="7D7CFEFE" w14:textId="77777777" w:rsidR="00AB6158" w:rsidRDefault="00AB6158" w:rsidP="00AB6158">
      <w:r w:rsidRPr="00044E8E">
        <w:rPr>
          <w:i/>
        </w:rPr>
        <w:t>Section 2.6.2—12</w:t>
      </w:r>
      <w:r>
        <w:t xml:space="preserve"> sets out the following labelling requirements for electrolyte drinks and electrolyte drink bases.</w:t>
      </w:r>
    </w:p>
    <w:p w14:paraId="3F4F5A26" w14:textId="77777777" w:rsidR="00AB6158" w:rsidRDefault="00AB6158" w:rsidP="00AB6158"/>
    <w:p w14:paraId="624231A7" w14:textId="77777777" w:rsidR="00AB6158" w:rsidRDefault="00AB6158" w:rsidP="00AB6158">
      <w:r>
        <w:t>Subsection 2.6.2—12(1) provides that ‘Electrolyte drink’ is a prescribed name for an electrolyte drink and an electrolyte drink base.</w:t>
      </w:r>
    </w:p>
    <w:p w14:paraId="2077C94F" w14:textId="77777777" w:rsidR="00AB6158" w:rsidRDefault="00AB6158" w:rsidP="00AB6158"/>
    <w:p w14:paraId="2E7295EB" w14:textId="77777777" w:rsidR="00AB6158" w:rsidRDefault="00AB6158" w:rsidP="00AB6158">
      <w:r>
        <w:t xml:space="preserve">The ‘prescribed name’ of a food is a term defined in subsection 1.1.2—2(3) [see </w:t>
      </w:r>
      <w:r w:rsidRPr="000E50C5">
        <w:rPr>
          <w:b/>
        </w:rPr>
        <w:t>subitem 3.2</w:t>
      </w:r>
      <w:r>
        <w:t xml:space="preserve"> of the approved draft variation]. The labelling provisions in Standard 1.2.1 and section 1.2.2— 2 require that, if a food has a prescribed name, that name must be used in the labelling of the food.</w:t>
      </w:r>
    </w:p>
    <w:p w14:paraId="7CEE3760" w14:textId="77777777" w:rsidR="00AB6158" w:rsidRDefault="00AB6158" w:rsidP="00AB6158"/>
    <w:p w14:paraId="59CF6A5D" w14:textId="77777777" w:rsidR="00AB6158" w:rsidRPr="003F6B5B" w:rsidRDefault="00AB6158" w:rsidP="00AB6158">
      <w:r w:rsidRPr="003F6B5B">
        <w:t>Subsection 2.6.2—12(2) requires the following information to be provided for the labelling</w:t>
      </w:r>
    </w:p>
    <w:p w14:paraId="053061CF" w14:textId="77777777" w:rsidR="00AB6158" w:rsidRDefault="00AB6158" w:rsidP="00AB6158">
      <w:r w:rsidRPr="003F6B5B">
        <w:t>provisions:</w:t>
      </w:r>
    </w:p>
    <w:p w14:paraId="2C24E485" w14:textId="77777777" w:rsidR="00AB6158" w:rsidRPr="003F6B5B" w:rsidRDefault="00AB6158" w:rsidP="00AB6158"/>
    <w:p w14:paraId="1E5F7D23" w14:textId="77777777" w:rsidR="00AB6158" w:rsidRPr="00D33FB0" w:rsidRDefault="00AB6158" w:rsidP="00AB6158">
      <w:pPr>
        <w:pStyle w:val="ListParagraph"/>
        <w:numPr>
          <w:ilvl w:val="0"/>
          <w:numId w:val="37"/>
        </w:numPr>
      </w:pPr>
      <w:r w:rsidRPr="00D33FB0">
        <w:t>the recommended volume and frequency of use (paragraph 2.6.2—12(2)(a)); and</w:t>
      </w:r>
    </w:p>
    <w:p w14:paraId="505071BE" w14:textId="77777777" w:rsidR="00AB6158" w:rsidRPr="00646E98" w:rsidRDefault="00AB6158" w:rsidP="00AB6158">
      <w:pPr>
        <w:pStyle w:val="ListParagraph"/>
        <w:numPr>
          <w:ilvl w:val="0"/>
          <w:numId w:val="37"/>
        </w:numPr>
      </w:pPr>
      <w:r w:rsidRPr="00646E98">
        <w:t xml:space="preserve">the nutrition information panel (NIP) must also declare the average quantity per serving and per unit quantity of </w:t>
      </w:r>
      <w:r>
        <w:t xml:space="preserve">all of </w:t>
      </w:r>
      <w:r w:rsidRPr="00646E98">
        <w:t>the following (paragraph 2.6.2—12(2)(b)):</w:t>
      </w:r>
    </w:p>
    <w:p w14:paraId="3928718C" w14:textId="77777777" w:rsidR="00AB6158" w:rsidRPr="00D33FB0" w:rsidRDefault="00AB6158" w:rsidP="00AB6158">
      <w:pPr>
        <w:pStyle w:val="ListParagraph"/>
        <w:numPr>
          <w:ilvl w:val="0"/>
          <w:numId w:val="38"/>
        </w:numPr>
      </w:pPr>
      <w:r w:rsidRPr="00D33FB0">
        <w:t>each type of monosaccharide present; and</w:t>
      </w:r>
    </w:p>
    <w:p w14:paraId="5F98D46F" w14:textId="77777777" w:rsidR="00AB6158" w:rsidRPr="00D33FB0" w:rsidRDefault="00AB6158" w:rsidP="00AB6158">
      <w:pPr>
        <w:pStyle w:val="ListParagraph"/>
        <w:numPr>
          <w:ilvl w:val="0"/>
          <w:numId w:val="38"/>
        </w:numPr>
      </w:pPr>
      <w:r w:rsidRPr="00D33FB0">
        <w:t>each type of disaccharide present; and</w:t>
      </w:r>
    </w:p>
    <w:p w14:paraId="051A9898" w14:textId="77777777" w:rsidR="00AB6158" w:rsidRDefault="00AB6158" w:rsidP="00AB6158">
      <w:pPr>
        <w:pStyle w:val="ListParagraph"/>
        <w:numPr>
          <w:ilvl w:val="0"/>
          <w:numId w:val="38"/>
        </w:numPr>
      </w:pPr>
      <w:r w:rsidRPr="00D33FB0">
        <w:t xml:space="preserve">subject to subsection 2.6.2—12(3) (see below), each prescribed electrolyte present (other than sodium), expressed in milligrams or both milligrams and millimoles. </w:t>
      </w:r>
      <w:r w:rsidRPr="00D33FB0">
        <w:cr/>
      </w:r>
    </w:p>
    <w:p w14:paraId="685CB2C4" w14:textId="77777777" w:rsidR="00AB6158" w:rsidRDefault="00AB6158" w:rsidP="00AB6158">
      <w:r w:rsidRPr="008F0266">
        <w:t xml:space="preserve">‘Average quantity’ and ‘unit quantity’ are terms defined in subsection 1.1.2—2(3) [see </w:t>
      </w:r>
      <w:r w:rsidRPr="00A73FB4">
        <w:rPr>
          <w:b/>
        </w:rPr>
        <w:t>subitem 3.2</w:t>
      </w:r>
      <w:r w:rsidRPr="008F0266">
        <w:t xml:space="preserve"> of the </w:t>
      </w:r>
      <w:r>
        <w:t>approved</w:t>
      </w:r>
      <w:r w:rsidRPr="008F0266">
        <w:t xml:space="preserve"> draft variation].</w:t>
      </w:r>
    </w:p>
    <w:p w14:paraId="47430835" w14:textId="77777777" w:rsidR="00AB6158" w:rsidRDefault="00AB6158" w:rsidP="00AB6158"/>
    <w:p w14:paraId="719EAE85" w14:textId="060A59DC" w:rsidR="00AB6158" w:rsidRDefault="00AB6158" w:rsidP="00AB6158">
      <w:r>
        <w:t xml:space="preserve">There are </w:t>
      </w:r>
      <w:r>
        <w:rPr>
          <w:i/>
        </w:rPr>
        <w:t>Notes</w:t>
      </w:r>
      <w:r>
        <w:t xml:space="preserve"> to paragraph 2.6.2—12(2)(b).</w:t>
      </w:r>
    </w:p>
    <w:p w14:paraId="6F9A1947" w14:textId="77777777" w:rsidR="00AB6158" w:rsidRPr="00534F88" w:rsidRDefault="00AB6158" w:rsidP="00AB6158"/>
    <w:p w14:paraId="05C8A777" w14:textId="77777777" w:rsidR="00AB6158" w:rsidRDefault="00AB6158" w:rsidP="00AB6158">
      <w:r w:rsidRPr="00F15D83">
        <w:rPr>
          <w:i/>
        </w:rPr>
        <w:t>Note 1</w:t>
      </w:r>
      <w:r>
        <w:t xml:space="preserve"> explains that labelling provisions are set out in Standard 1.2.1.</w:t>
      </w:r>
    </w:p>
    <w:p w14:paraId="7DCD3EA4" w14:textId="77777777" w:rsidR="00AB6158" w:rsidRDefault="00AB6158" w:rsidP="00AB6158"/>
    <w:p w14:paraId="45E9258B" w14:textId="77777777" w:rsidR="00AB6158" w:rsidRDefault="00AB6158" w:rsidP="00AB6158">
      <w:r w:rsidRPr="00F15D83">
        <w:rPr>
          <w:i/>
        </w:rPr>
        <w:t>Note 2</w:t>
      </w:r>
      <w:r>
        <w:t xml:space="preserve"> explains that section 1.2.8—5 </w:t>
      </w:r>
      <w:r w:rsidRPr="00431C4F">
        <w:t>provides that packaged food (unless exempted) must include a</w:t>
      </w:r>
      <w:r>
        <w:t>n</w:t>
      </w:r>
      <w:r w:rsidRPr="00431C4F">
        <w:t xml:space="preserve"> NIP</w:t>
      </w:r>
      <w:r>
        <w:t xml:space="preserve">; and Standard 1.2.8 also contains other requirements relating to NIPs, for example, information that must be included and how to express that information in an NIP (see sections 1.2.8—6 and 1.2.8—7). This </w:t>
      </w:r>
      <w:r w:rsidRPr="006F4A89">
        <w:rPr>
          <w:i/>
        </w:rPr>
        <w:t>Note</w:t>
      </w:r>
      <w:r>
        <w:t xml:space="preserve"> also explains that the requirements set out in paragraph 2.6.2—12(2)(b) </w:t>
      </w:r>
      <w:r w:rsidRPr="00E17EC0">
        <w:rPr>
          <w:i/>
        </w:rPr>
        <w:t>are in addition to</w:t>
      </w:r>
      <w:r>
        <w:t xml:space="preserve"> those other requirements.</w:t>
      </w:r>
    </w:p>
    <w:p w14:paraId="1C522B07" w14:textId="77777777" w:rsidR="00AB6158" w:rsidRDefault="00AB6158" w:rsidP="00AB6158"/>
    <w:p w14:paraId="174963BE" w14:textId="77777777" w:rsidR="00AB6158" w:rsidRDefault="00AB6158" w:rsidP="00AB6158">
      <w:r w:rsidRPr="00EA2CB2">
        <w:rPr>
          <w:i/>
        </w:rPr>
        <w:t>Note 3</w:t>
      </w:r>
      <w:r>
        <w:t xml:space="preserve"> explains that subparagraph 1.2.8—6(1)(d)(iii) requires that an NIP must contain (among other information) the average quantity of sodium, expressed in milligrams or both milligrams and millimoles for a serving of the food and a unit quantity of the food.</w:t>
      </w:r>
    </w:p>
    <w:p w14:paraId="75842C56" w14:textId="77777777" w:rsidR="00AB6158" w:rsidRDefault="00AB6158" w:rsidP="00AB6158"/>
    <w:p w14:paraId="6AA5E7E9" w14:textId="17B219A3" w:rsidR="00AB6158" w:rsidRDefault="00AB6158" w:rsidP="00AB6158">
      <w:r w:rsidRPr="00DC007F">
        <w:t>Subsection 2.6.2—12(3)</w:t>
      </w:r>
      <w:r>
        <w:t xml:space="preserve"> provides that the requirement in subparagraph 2.6.2—12(2)(b)(iii) applies only in relation to an electrolyte drink or an electrolyte drink base to which a substance listed in subsection 2.6.2—11(3) has been added.</w:t>
      </w:r>
    </w:p>
    <w:p w14:paraId="79BEBB78" w14:textId="77777777" w:rsidR="00AB6158" w:rsidRDefault="00AB6158" w:rsidP="00AB6158"/>
    <w:p w14:paraId="252AE507" w14:textId="77777777" w:rsidR="00AB6158" w:rsidRDefault="00AB6158" w:rsidP="00AB6158">
      <w:r>
        <w:t xml:space="preserve">The effect of both subparagraph 2.6.2—12(2)(b)(iii) and subsection 2.6.2—12(3) is that where a substance listed in subsection 2.6.2—11(3) has been added to an electrolyte drink or electrolyte drink base, the average quantity per serving and per unit quantity of each prescribed electrolyte that is present in the electrolyte drink or electrolyte drink base must be declared. These quantities are based on the </w:t>
      </w:r>
      <w:r w:rsidRPr="005B300A">
        <w:rPr>
          <w:i/>
        </w:rPr>
        <w:t>total amount</w:t>
      </w:r>
      <w:r>
        <w:t xml:space="preserve"> of a prescribed electrolyte that is present in the electrolyte drink or electrolyte drink base, i.e. the amount of the prescribed electrolyte derived from </w:t>
      </w:r>
      <w:r w:rsidRPr="00A17126">
        <w:rPr>
          <w:i/>
        </w:rPr>
        <w:t>all sources</w:t>
      </w:r>
      <w:r>
        <w:t xml:space="preserve"> added to the electrolyte drink or electrolyte drink base—i.e., derived from a substance listed in 2.6.2—11(3) and from any other substance such as </w:t>
      </w:r>
      <w:r>
        <w:lastRenderedPageBreak/>
        <w:t>an intense sweetener.</w:t>
      </w:r>
    </w:p>
    <w:p w14:paraId="79A10FE3" w14:textId="77777777" w:rsidR="00AB6158" w:rsidRDefault="00AB6158" w:rsidP="00AB6158"/>
    <w:p w14:paraId="32EB6935" w14:textId="77777777" w:rsidR="00AB6158" w:rsidRDefault="00AB6158" w:rsidP="00AB6158">
      <w:r w:rsidRPr="002B7C20">
        <w:rPr>
          <w:i/>
        </w:rPr>
        <w:t>Section 2.6.2—13</w:t>
      </w:r>
      <w:r>
        <w:t xml:space="preserve"> sets out the following labelling requirements for electrolyte drinks and electrolyte drink bases in small packages.</w:t>
      </w:r>
    </w:p>
    <w:p w14:paraId="0C2FE5E8" w14:textId="77777777" w:rsidR="00AB6158" w:rsidRDefault="00AB6158" w:rsidP="00AB6158"/>
    <w:p w14:paraId="2493ABFB" w14:textId="77777777" w:rsidR="00AB6158" w:rsidRDefault="00AB6158" w:rsidP="00AB6158">
      <w:r w:rsidRPr="00CD07C1">
        <w:t>Subsection 2.6.2—13(1) clarifies that requirements in this section apply to an electrolyte drink</w:t>
      </w:r>
      <w:r>
        <w:t xml:space="preserve"> </w:t>
      </w:r>
      <w:r w:rsidRPr="00CD07C1">
        <w:t>or electrolyte drink base:</w:t>
      </w:r>
    </w:p>
    <w:p w14:paraId="50398696" w14:textId="77777777" w:rsidR="00AB6158" w:rsidRPr="00CD07C1" w:rsidRDefault="00AB6158" w:rsidP="00AB6158"/>
    <w:p w14:paraId="49ED107E" w14:textId="77777777" w:rsidR="00AB6158" w:rsidRPr="00CD07C1" w:rsidRDefault="00AB6158" w:rsidP="00AB6158">
      <w:pPr>
        <w:pStyle w:val="ListParagraph"/>
        <w:numPr>
          <w:ilvl w:val="0"/>
          <w:numId w:val="39"/>
        </w:numPr>
      </w:pPr>
      <w:r w:rsidRPr="00CD07C1">
        <w:t>that is in a small package; and</w:t>
      </w:r>
    </w:p>
    <w:p w14:paraId="269E901C" w14:textId="77777777" w:rsidR="00AB6158" w:rsidRPr="00CD07C1" w:rsidRDefault="00AB6158" w:rsidP="00AB6158">
      <w:pPr>
        <w:pStyle w:val="ListParagraph"/>
        <w:numPr>
          <w:ilvl w:val="0"/>
          <w:numId w:val="39"/>
        </w:numPr>
      </w:pPr>
      <w:r w:rsidRPr="00CD07C1">
        <w:t>about which a claim requiring nutrition information is made; and</w:t>
      </w:r>
    </w:p>
    <w:p w14:paraId="2C0B4FF3" w14:textId="77777777" w:rsidR="00AB6158" w:rsidRPr="00CD07C1" w:rsidRDefault="00AB6158" w:rsidP="00AB6158">
      <w:pPr>
        <w:pStyle w:val="ListParagraph"/>
        <w:numPr>
          <w:ilvl w:val="0"/>
          <w:numId w:val="39"/>
        </w:numPr>
      </w:pPr>
      <w:r w:rsidRPr="00CD07C1">
        <w:t>the claim relates to a prescribed electrolyte.</w:t>
      </w:r>
    </w:p>
    <w:p w14:paraId="4906E595" w14:textId="77777777" w:rsidR="00AB6158" w:rsidRDefault="00AB6158" w:rsidP="00AB6158"/>
    <w:p w14:paraId="28A269D6" w14:textId="128452CA" w:rsidR="00AB6158" w:rsidRPr="00CD07C1" w:rsidRDefault="00AB6158" w:rsidP="00AB6158">
      <w:r w:rsidRPr="00CD07C1">
        <w:t>The terms ‘small package’ and ‘claim requiring nutrition information’ are defined in</w:t>
      </w:r>
    </w:p>
    <w:p w14:paraId="79C2EF03" w14:textId="77777777" w:rsidR="00AB6158" w:rsidRDefault="00AB6158" w:rsidP="00AB6158">
      <w:r w:rsidRPr="00CD07C1">
        <w:t xml:space="preserve">subsection 1.1.2—2(3) [see </w:t>
      </w:r>
      <w:r w:rsidRPr="00CD07C1">
        <w:rPr>
          <w:b/>
        </w:rPr>
        <w:t>subitem 3.2</w:t>
      </w:r>
      <w:r w:rsidRPr="00CD07C1">
        <w:t xml:space="preserve"> of the </w:t>
      </w:r>
      <w:r>
        <w:t>approved</w:t>
      </w:r>
      <w:r w:rsidRPr="00CD07C1">
        <w:t xml:space="preserve"> draft variation]. </w:t>
      </w:r>
      <w:r w:rsidRPr="00CD07C1">
        <w:cr/>
      </w:r>
    </w:p>
    <w:p w14:paraId="46582FBD" w14:textId="77777777" w:rsidR="00AB6158" w:rsidRDefault="00AB6158" w:rsidP="00AB6158">
      <w:r>
        <w:t>Subsection 2.6.2—13(2) provides that for the labelling provisions, the required information includes the average quantity per serving of each prescribed electrolyte present, expressed in milligrams or both milligrams and millimoles.</w:t>
      </w:r>
    </w:p>
    <w:p w14:paraId="402C43FF" w14:textId="77777777" w:rsidR="00AB6158" w:rsidRDefault="00AB6158" w:rsidP="00AB6158"/>
    <w:p w14:paraId="7D395B69" w14:textId="77777777" w:rsidR="00AB6158" w:rsidRDefault="00AB6158" w:rsidP="00AB6158">
      <w:r>
        <w:t xml:space="preserve">There are two </w:t>
      </w:r>
      <w:r>
        <w:rPr>
          <w:i/>
        </w:rPr>
        <w:t>Notes</w:t>
      </w:r>
      <w:r>
        <w:t xml:space="preserve"> to subsection 2.6.2—13(2).</w:t>
      </w:r>
    </w:p>
    <w:p w14:paraId="1C74B9D1" w14:textId="77777777" w:rsidR="00AB6158" w:rsidRDefault="00AB6158" w:rsidP="00AB6158"/>
    <w:p w14:paraId="45094557" w14:textId="77777777" w:rsidR="00AB6158" w:rsidRDefault="00AB6158" w:rsidP="00AB6158">
      <w:r w:rsidRPr="002F78BF">
        <w:rPr>
          <w:i/>
        </w:rPr>
        <w:t>Note 1</w:t>
      </w:r>
      <w:r>
        <w:t xml:space="preserve"> explains that labelling provisions are contained in Standard 1.2.1. </w:t>
      </w:r>
    </w:p>
    <w:p w14:paraId="0FB60036" w14:textId="77777777" w:rsidR="00AB6158" w:rsidRDefault="00AB6158" w:rsidP="00AB6158"/>
    <w:p w14:paraId="5432D6C8" w14:textId="77777777" w:rsidR="00AB6158" w:rsidRDefault="00AB6158" w:rsidP="00AB6158">
      <w:r w:rsidRPr="002F78BF">
        <w:rPr>
          <w:i/>
        </w:rPr>
        <w:t>Note 2</w:t>
      </w:r>
      <w:r>
        <w:t xml:space="preserve"> explains that the requirements of subsection 2.6.2—13(2) are in addition to the requirements set out in section 1.2.8—14. Section 1.2.8—14 sets out requirements for food for sale in a small package where a claim requiring nutrition information is made in relation to the food.</w:t>
      </w:r>
    </w:p>
    <w:p w14:paraId="3D669537" w14:textId="77777777" w:rsidR="00AB6158" w:rsidRDefault="00AB6158" w:rsidP="00AB6158"/>
    <w:p w14:paraId="237741AA" w14:textId="7E3269F5" w:rsidR="00AB6158" w:rsidRDefault="00AB6158" w:rsidP="00AB6158">
      <w:r>
        <w:t xml:space="preserve">Subsection 2.6.2—13(3) provides that paragraph 1.2.8—14(1)(b) does not apply </w:t>
      </w:r>
      <w:r w:rsidR="00B62675">
        <w:t xml:space="preserve">to a </w:t>
      </w:r>
      <w:r w:rsidR="00B62675" w:rsidRPr="00B62675">
        <w:t>claim requiring nutrition information that is made about a prescribed electrolyte</w:t>
      </w:r>
      <w:r w:rsidR="002A1F87">
        <w:t xml:space="preserve">. </w:t>
      </w:r>
      <w:r w:rsidR="005C5017" w:rsidRPr="00E4598C">
        <w:rPr>
          <w:szCs w:val="20"/>
        </w:rPr>
        <w:t xml:space="preserve">Paragraph </w:t>
      </w:r>
      <w:r w:rsidR="005C5017" w:rsidRPr="00E4598C">
        <w:t xml:space="preserve">1.2.8—14(1)(b) sets out nutrition information requirements for food for sale in a small package where a claim requiring nutrition information is made about a matter listed in Column 1 of the table to section S13—2 (such as sodium or a mineral with </w:t>
      </w:r>
      <w:r w:rsidR="005C5017">
        <w:t xml:space="preserve">a </w:t>
      </w:r>
      <w:r w:rsidR="005C5017" w:rsidRPr="00BE716A">
        <w:t>Recommended Dietary Intake</w:t>
      </w:r>
      <w:r w:rsidR="005C5017">
        <w:t xml:space="preserve">). Subsection 2.6.2—13(3) provides that these </w:t>
      </w:r>
      <w:r w:rsidR="005C5017" w:rsidRPr="00E4598C">
        <w:t xml:space="preserve">nutrition information requirements </w:t>
      </w:r>
      <w:r w:rsidR="002A1F87">
        <w:t xml:space="preserve">do not apply </w:t>
      </w:r>
      <w:r>
        <w:t xml:space="preserve">when a claim requiring nutrition information </w:t>
      </w:r>
      <w:r w:rsidR="002A1F87">
        <w:t>is made about</w:t>
      </w:r>
      <w:r>
        <w:t xml:space="preserve"> a </w:t>
      </w:r>
      <w:r w:rsidRPr="006923B0">
        <w:rPr>
          <w:i/>
        </w:rPr>
        <w:t>prescribed electrolyte</w:t>
      </w:r>
      <w:r>
        <w:t xml:space="preserve"> in </w:t>
      </w:r>
      <w:r w:rsidR="002A1F87">
        <w:t>an</w:t>
      </w:r>
      <w:r>
        <w:t xml:space="preserve"> electrolyte drink or electrolyte drink base </w:t>
      </w:r>
      <w:r w:rsidR="002A1F87">
        <w:t>in a small package</w:t>
      </w:r>
      <w:r>
        <w:t>.</w:t>
      </w:r>
    </w:p>
    <w:p w14:paraId="311ED2B4" w14:textId="77777777" w:rsidR="00AB6158" w:rsidRDefault="00AB6158" w:rsidP="00AB6158"/>
    <w:p w14:paraId="068602DC" w14:textId="77777777" w:rsidR="00AB6158" w:rsidRDefault="00AB6158" w:rsidP="00AB6158">
      <w:r>
        <w:t xml:space="preserve">The </w:t>
      </w:r>
      <w:r w:rsidRPr="00247B13">
        <w:rPr>
          <w:i/>
        </w:rPr>
        <w:t>Note</w:t>
      </w:r>
      <w:r>
        <w:t xml:space="preserve"> to subsection 2.6.2—13(3) explains that paragraph 1.2.8—14(1)(b) sets out nutrition information requirements for food for sale in a small package where a claim requiring nutrition information is made about a matter listed in Column 1 of the table to section S13—2 (such as sodium or a mineral with a Recommended dietary intake (RDI)).</w:t>
      </w:r>
    </w:p>
    <w:p w14:paraId="5E285FA0" w14:textId="77777777" w:rsidR="00AB6158" w:rsidRDefault="00AB6158" w:rsidP="00AB6158"/>
    <w:p w14:paraId="4DE975AF" w14:textId="77777777" w:rsidR="00AB6158" w:rsidRDefault="00AB6158" w:rsidP="00AB6158">
      <w:r w:rsidRPr="00136BDE">
        <w:rPr>
          <w:i/>
        </w:rPr>
        <w:t>Section 2.6.2—14</w:t>
      </w:r>
      <w:r>
        <w:t xml:space="preserve"> contains the following prohibitions related to RDI information for electrolyte drinks and electrolyte drink bases.</w:t>
      </w:r>
    </w:p>
    <w:p w14:paraId="10549E62" w14:textId="77777777" w:rsidR="00AB6158" w:rsidRDefault="00AB6158" w:rsidP="00AB6158"/>
    <w:p w14:paraId="194CC6FB" w14:textId="77777777" w:rsidR="00AB6158" w:rsidRDefault="00AB6158" w:rsidP="00AB6158">
      <w:r>
        <w:t>Subsection 2.6.2—14(1) provides that an RDI must not be stated or declared in relation to an electrolyte drink or electrolyte drink base.</w:t>
      </w:r>
    </w:p>
    <w:p w14:paraId="317A598F" w14:textId="77777777" w:rsidR="00AB6158" w:rsidRDefault="00AB6158" w:rsidP="00AB6158"/>
    <w:p w14:paraId="3DCA9CA4" w14:textId="77777777" w:rsidR="00AB6158" w:rsidRDefault="00AB6158" w:rsidP="00AB6158">
      <w:r>
        <w:t>Subsection 2.6.2—14(2) provides that section 1.2.8—9 does not apply to an electrolyte drink or electrolyte drink base.</w:t>
      </w:r>
    </w:p>
    <w:p w14:paraId="20E80351" w14:textId="77777777" w:rsidR="00AB6158" w:rsidRDefault="00AB6158" w:rsidP="00AB6158"/>
    <w:p w14:paraId="7FD3F5B1" w14:textId="77777777" w:rsidR="00AB6158" w:rsidRDefault="00AB6158" w:rsidP="00AB6158">
      <w:r>
        <w:t xml:space="preserve">The </w:t>
      </w:r>
      <w:r w:rsidRPr="00A33298">
        <w:rPr>
          <w:i/>
        </w:rPr>
        <w:t>Note</w:t>
      </w:r>
      <w:r>
        <w:t xml:space="preserve"> to subsection 2.6.2—14(2) explains that section 1.2.8—9 relates to minerals with an RDI (among other things). As stated above, some of the substances listed as ‘prescribed electrolytes’ in section 2.6.2—10 are also minerals with an RDI for the purposes of section 1.2.8—9, for example, calcium and magnesium (see also the table to section S1—3).</w:t>
      </w:r>
    </w:p>
    <w:p w14:paraId="01857B25" w14:textId="77777777" w:rsidR="00AB6158" w:rsidRDefault="00AB6158" w:rsidP="00AB6158"/>
    <w:p w14:paraId="78D1E705" w14:textId="77777777" w:rsidR="00AB6158" w:rsidRDefault="00AB6158" w:rsidP="00AB6158">
      <w:r>
        <w:t xml:space="preserve">Section 2.6.2—15 contains the following requirements and limitations for making nutrition content claims made about electrolyte drinks and electrolyte drink bases. </w:t>
      </w:r>
    </w:p>
    <w:p w14:paraId="2798ADF2" w14:textId="77777777" w:rsidR="00AB6158" w:rsidRDefault="00AB6158" w:rsidP="00AB6158"/>
    <w:p w14:paraId="2755D6FC" w14:textId="77777777" w:rsidR="00AB6158" w:rsidRDefault="00AB6158" w:rsidP="00AB6158">
      <w:r>
        <w:t xml:space="preserve">‘Nutrition content claim’ is defined in section 1.1.2—9 [see </w:t>
      </w:r>
      <w:r w:rsidRPr="00FC24C9">
        <w:rPr>
          <w:b/>
        </w:rPr>
        <w:t>subitem 3.2</w:t>
      </w:r>
      <w:r>
        <w:t xml:space="preserve"> of the approved draft variation].</w:t>
      </w:r>
    </w:p>
    <w:p w14:paraId="2325529F" w14:textId="77777777" w:rsidR="00AB6158" w:rsidRDefault="00AB6158" w:rsidP="00AB6158"/>
    <w:p w14:paraId="69DF65C4" w14:textId="77777777" w:rsidR="00AB6158" w:rsidRDefault="00AB6158" w:rsidP="00AB6158">
      <w:r w:rsidRPr="007F04D0">
        <w:t xml:space="preserve">Subsection 2.6.2—15(1) </w:t>
      </w:r>
      <w:r>
        <w:t>provides that</w:t>
      </w:r>
      <w:r w:rsidRPr="007F04D0">
        <w:t xml:space="preserve"> a nutrition content claim </w:t>
      </w:r>
      <w:r>
        <w:t>must not be</w:t>
      </w:r>
      <w:r w:rsidRPr="007F04D0">
        <w:t xml:space="preserve"> made about an electrolyte</w:t>
      </w:r>
      <w:r>
        <w:t xml:space="preserve"> </w:t>
      </w:r>
      <w:r w:rsidRPr="007F04D0">
        <w:t xml:space="preserve">drink or electrolyte drink base </w:t>
      </w:r>
      <w:r>
        <w:t>unless</w:t>
      </w:r>
      <w:r w:rsidRPr="007F04D0">
        <w:t xml:space="preserve"> both of the following conditions are satisfied:</w:t>
      </w:r>
    </w:p>
    <w:p w14:paraId="3A4FFF66" w14:textId="77777777" w:rsidR="00AB6158" w:rsidRPr="007F04D0" w:rsidRDefault="00AB6158" w:rsidP="00AB6158"/>
    <w:p w14:paraId="2A05B4D0" w14:textId="77777777" w:rsidR="00AB6158" w:rsidRPr="00D31B5E" w:rsidRDefault="00AB6158" w:rsidP="00AB6158">
      <w:pPr>
        <w:pStyle w:val="ListParagraph"/>
        <w:numPr>
          <w:ilvl w:val="0"/>
          <w:numId w:val="39"/>
        </w:numPr>
      </w:pPr>
      <w:r w:rsidRPr="00D31B5E">
        <w:t>subject to paragraph 2.6.2—15(2)(b), the claim is made in accordance with Division 4</w:t>
      </w:r>
    </w:p>
    <w:p w14:paraId="37F6515A" w14:textId="77777777" w:rsidR="00AB6158" w:rsidRPr="00D31B5E" w:rsidRDefault="00AB6158" w:rsidP="00AB6158">
      <w:pPr>
        <w:pStyle w:val="ListParagraph"/>
      </w:pPr>
      <w:r w:rsidRPr="00D31B5E">
        <w:t>of Standard 1.2.7 (Requirements for nutrition content claims); and</w:t>
      </w:r>
    </w:p>
    <w:p w14:paraId="7F9BAF9A" w14:textId="77777777" w:rsidR="00AB6158" w:rsidRPr="00D31B5E" w:rsidRDefault="00AB6158" w:rsidP="00AB6158">
      <w:pPr>
        <w:pStyle w:val="ListParagraph"/>
        <w:numPr>
          <w:ilvl w:val="0"/>
          <w:numId w:val="40"/>
        </w:numPr>
      </w:pPr>
      <w:r w:rsidRPr="00D31B5E">
        <w:t>the claim is about any of the following:</w:t>
      </w:r>
    </w:p>
    <w:p w14:paraId="12AC92D8" w14:textId="77777777" w:rsidR="00AB6158" w:rsidRPr="00D31B5E" w:rsidRDefault="00AB6158" w:rsidP="00AB6158">
      <w:pPr>
        <w:pStyle w:val="ListParagraph"/>
        <w:numPr>
          <w:ilvl w:val="0"/>
          <w:numId w:val="41"/>
        </w:numPr>
      </w:pPr>
      <w:r w:rsidRPr="00D31B5E">
        <w:t>sugar or sugars content; or</w:t>
      </w:r>
    </w:p>
    <w:p w14:paraId="018A3187" w14:textId="77777777" w:rsidR="00AB6158" w:rsidRPr="00D31B5E" w:rsidRDefault="00AB6158" w:rsidP="00AB6158">
      <w:pPr>
        <w:pStyle w:val="ListParagraph"/>
        <w:numPr>
          <w:ilvl w:val="0"/>
          <w:numId w:val="41"/>
        </w:numPr>
      </w:pPr>
      <w:r w:rsidRPr="00D31B5E">
        <w:t>carbohydrate content; or</w:t>
      </w:r>
    </w:p>
    <w:p w14:paraId="2D9ABF57" w14:textId="77777777" w:rsidR="00AB6158" w:rsidRPr="00D31B5E" w:rsidRDefault="00AB6158" w:rsidP="00AB6158">
      <w:pPr>
        <w:pStyle w:val="ListParagraph"/>
        <w:numPr>
          <w:ilvl w:val="0"/>
          <w:numId w:val="41"/>
        </w:numPr>
      </w:pPr>
      <w:r w:rsidRPr="00D31B5E">
        <w:t>energy; or</w:t>
      </w:r>
    </w:p>
    <w:p w14:paraId="24AB4865" w14:textId="77777777" w:rsidR="00AB6158" w:rsidRPr="00D31B5E" w:rsidRDefault="00AB6158" w:rsidP="00AB6158">
      <w:pPr>
        <w:pStyle w:val="ListParagraph"/>
        <w:numPr>
          <w:ilvl w:val="0"/>
          <w:numId w:val="41"/>
        </w:numPr>
      </w:pPr>
      <w:r w:rsidRPr="00D31B5E">
        <w:t>the presence of one or more prescribed electrolytes.</w:t>
      </w:r>
    </w:p>
    <w:p w14:paraId="5A051D39" w14:textId="77777777" w:rsidR="00AB6158" w:rsidRPr="007F04D0" w:rsidRDefault="00AB6158" w:rsidP="00AB6158"/>
    <w:p w14:paraId="113F03B1" w14:textId="3F350753" w:rsidR="00AB6158" w:rsidRDefault="00AB6158" w:rsidP="00AB6158">
      <w:r w:rsidRPr="007F04D0">
        <w:t>‘</w:t>
      </w:r>
      <w:r w:rsidR="00944E6C">
        <w:t xml:space="preserve">Sugar’ is defined in subsection </w:t>
      </w:r>
      <w:r w:rsidR="00944E6C" w:rsidRPr="00944E6C">
        <w:t>1.1.2—2(</w:t>
      </w:r>
      <w:r w:rsidR="00944E6C">
        <w:t>2</w:t>
      </w:r>
      <w:r w:rsidR="00944E6C" w:rsidRPr="00944E6C">
        <w:t>)</w:t>
      </w:r>
      <w:r w:rsidR="00944E6C">
        <w:t xml:space="preserve"> and</w:t>
      </w:r>
      <w:r w:rsidR="00944E6C" w:rsidRPr="00944E6C">
        <w:t xml:space="preserve"> </w:t>
      </w:r>
      <w:r w:rsidRPr="007F04D0">
        <w:t>‘</w:t>
      </w:r>
      <w:r w:rsidR="00944E6C">
        <w:t>s</w:t>
      </w:r>
      <w:r w:rsidRPr="007F04D0">
        <w:t xml:space="preserve">ugars’ is defined in subsection 1.1.2—2(3) [see </w:t>
      </w:r>
      <w:r w:rsidRPr="007F04D0">
        <w:rPr>
          <w:b/>
        </w:rPr>
        <w:t>subitem 3.2</w:t>
      </w:r>
      <w:r w:rsidRPr="007F04D0">
        <w:t xml:space="preserve"> of the </w:t>
      </w:r>
      <w:r>
        <w:t>approved</w:t>
      </w:r>
      <w:r w:rsidRPr="007F04D0">
        <w:t xml:space="preserve"> draft variation].</w:t>
      </w:r>
    </w:p>
    <w:p w14:paraId="397D4F5B" w14:textId="77777777" w:rsidR="00AB6158" w:rsidRDefault="00AB6158" w:rsidP="00AB6158"/>
    <w:p w14:paraId="175A166D" w14:textId="77777777" w:rsidR="00AB6158" w:rsidRDefault="00AB6158" w:rsidP="00AB6158">
      <w:r>
        <w:t>Subsection 2.6.2—15(2) provides that if a nutrition content claim is made under subparagraph 2.6.2—15(1)(b)(iv) i.e., the claim is about the presence of one or more prescribed electrolytes:</w:t>
      </w:r>
    </w:p>
    <w:p w14:paraId="761B0832" w14:textId="77777777" w:rsidR="00AB6158" w:rsidRDefault="00AB6158" w:rsidP="00AB6158"/>
    <w:p w14:paraId="061653A3" w14:textId="77777777" w:rsidR="00AB6158" w:rsidRPr="00FF6AC7" w:rsidRDefault="00AB6158" w:rsidP="00AB6158">
      <w:pPr>
        <w:pStyle w:val="ListParagraph"/>
        <w:numPr>
          <w:ilvl w:val="0"/>
          <w:numId w:val="40"/>
        </w:numPr>
      </w:pPr>
      <w:r w:rsidRPr="00FF6AC7">
        <w:t>the claim must only state that the electrolyte drink or electrolyte drink base contains</w:t>
      </w:r>
    </w:p>
    <w:p w14:paraId="2193563B" w14:textId="77777777" w:rsidR="00AB6158" w:rsidRDefault="00AB6158" w:rsidP="00AB6158">
      <w:pPr>
        <w:ind w:left="153" w:firstLine="567"/>
      </w:pPr>
      <w:r w:rsidRPr="00FF6AC7">
        <w:t>one or both of the following:</w:t>
      </w:r>
    </w:p>
    <w:p w14:paraId="2C5FC9E3" w14:textId="77777777" w:rsidR="00AB6158" w:rsidRPr="00FF6AC7" w:rsidRDefault="00AB6158" w:rsidP="00AB6158"/>
    <w:p w14:paraId="71D0C2A2" w14:textId="77777777" w:rsidR="00AB6158" w:rsidRPr="00FF6AC7" w:rsidRDefault="00AB6158" w:rsidP="00AB6158">
      <w:pPr>
        <w:pStyle w:val="ListParagraph"/>
        <w:numPr>
          <w:ilvl w:val="0"/>
          <w:numId w:val="42"/>
        </w:numPr>
      </w:pPr>
      <w:r w:rsidRPr="00FF6AC7">
        <w:t>electrolytes (for example, ‘Contains electrolytes’);</w:t>
      </w:r>
    </w:p>
    <w:p w14:paraId="70C7B164" w14:textId="77777777" w:rsidR="00AB6158" w:rsidRPr="001936D2" w:rsidRDefault="00AB6158" w:rsidP="00AB6158">
      <w:pPr>
        <w:pStyle w:val="ListParagraph"/>
        <w:numPr>
          <w:ilvl w:val="0"/>
          <w:numId w:val="42"/>
        </w:numPr>
      </w:pPr>
      <w:r w:rsidRPr="001936D2">
        <w:t>a prescribed electrolyte that is present in the food, provided that the claim also states that the prescribed electrolyte is an electrolyte (for example, ‘This food contains the electrolytes: calcium and sodium’); and</w:t>
      </w:r>
    </w:p>
    <w:p w14:paraId="37ED42F0" w14:textId="77777777" w:rsidR="00AB6158" w:rsidRPr="00FF6AC7" w:rsidRDefault="00AB6158" w:rsidP="00AB6158"/>
    <w:p w14:paraId="242DC389" w14:textId="77777777" w:rsidR="00AB6158" w:rsidRPr="00FF6AC7" w:rsidRDefault="00AB6158" w:rsidP="00AB6158">
      <w:pPr>
        <w:pStyle w:val="ListParagraph"/>
        <w:numPr>
          <w:ilvl w:val="0"/>
          <w:numId w:val="40"/>
        </w:numPr>
      </w:pPr>
      <w:r w:rsidRPr="00FF6AC7">
        <w:t>any conditions for nutrition content claims in Standard 1.2.7 relating to a prescribed</w:t>
      </w:r>
    </w:p>
    <w:p w14:paraId="0AB32A27" w14:textId="77777777" w:rsidR="00AB6158" w:rsidRPr="00FF6AC7" w:rsidRDefault="00AB6158" w:rsidP="00AB6158">
      <w:pPr>
        <w:ind w:left="153" w:firstLine="567"/>
      </w:pPr>
      <w:r w:rsidRPr="00FF6AC7">
        <w:t>electrolyte present in the food do not apply to the nutrition content claim (this is</w:t>
      </w:r>
    </w:p>
    <w:p w14:paraId="1664C34E" w14:textId="77777777" w:rsidR="00AB6158" w:rsidRPr="00FF6AC7" w:rsidRDefault="00AB6158" w:rsidP="00AB6158">
      <w:pPr>
        <w:ind w:left="153" w:firstLine="567"/>
      </w:pPr>
      <w:r w:rsidRPr="00FF6AC7">
        <w:t>because, as stated above, some substances listed as ‘prescribed electrolytes’ in</w:t>
      </w:r>
    </w:p>
    <w:p w14:paraId="32A55676" w14:textId="77777777" w:rsidR="00AB6158" w:rsidRDefault="00AB6158" w:rsidP="00AB6158">
      <w:pPr>
        <w:ind w:left="720"/>
      </w:pPr>
      <w:r w:rsidRPr="00FF6AC7">
        <w:t>section 2.6.2—10 are also ‘minerals’ for the purposes of requirements elsewhere</w:t>
      </w:r>
      <w:r>
        <w:t xml:space="preserve"> </w:t>
      </w:r>
      <w:r w:rsidRPr="00FF6AC7">
        <w:t>in the Code,</w:t>
      </w:r>
      <w:r>
        <w:t xml:space="preserve"> for example, Standard 1.2.7). </w:t>
      </w:r>
    </w:p>
    <w:p w14:paraId="0BF2BF84" w14:textId="77777777" w:rsidR="00AB6158" w:rsidRDefault="00AB6158" w:rsidP="00AB6158"/>
    <w:p w14:paraId="7AA9EBD6" w14:textId="77777777" w:rsidR="00AB6158" w:rsidRDefault="00AB6158" w:rsidP="00AB6158">
      <w:r w:rsidRPr="00EF5BFA">
        <w:rPr>
          <w:i/>
        </w:rPr>
        <w:t>Section 2.6.2—16</w:t>
      </w:r>
      <w:r>
        <w:t xml:space="preserve"> contains the following requirements and limitations for health claims made about electrolyte drinks and electrolyte drink bases.</w:t>
      </w:r>
    </w:p>
    <w:p w14:paraId="63C97C7B" w14:textId="77777777" w:rsidR="00AB6158" w:rsidRDefault="00AB6158" w:rsidP="00AB6158"/>
    <w:p w14:paraId="43B971BF" w14:textId="77777777" w:rsidR="00AB6158" w:rsidRDefault="00AB6158" w:rsidP="00AB6158">
      <w:r>
        <w:t xml:space="preserve">Subsection 2.6.2—16(1) provides that Standard 1.2.7 does not apply to a health claim made about an electrolyte drink or electrolyte drink base. </w:t>
      </w:r>
    </w:p>
    <w:p w14:paraId="3C4D77EA" w14:textId="77777777" w:rsidR="00AB6158" w:rsidRDefault="00AB6158" w:rsidP="00AB6158"/>
    <w:p w14:paraId="02FE2973" w14:textId="77777777" w:rsidR="00AB6158" w:rsidRDefault="00AB6158" w:rsidP="00AB6158">
      <w:r>
        <w:t xml:space="preserve">‘Health claim’ is defined in subsection 1.1.2—2(3) [see </w:t>
      </w:r>
      <w:r w:rsidRPr="00EF5BFA">
        <w:rPr>
          <w:b/>
        </w:rPr>
        <w:t>subitem 3.2</w:t>
      </w:r>
      <w:r>
        <w:t xml:space="preserve"> of the approved draft variation].</w:t>
      </w:r>
    </w:p>
    <w:p w14:paraId="6B88C14B" w14:textId="77777777" w:rsidR="00AB6158" w:rsidRDefault="00AB6158" w:rsidP="00AB6158"/>
    <w:p w14:paraId="786C5401" w14:textId="77777777" w:rsidR="00AB6158" w:rsidRDefault="00AB6158" w:rsidP="00AB6158">
      <w:r w:rsidRPr="00753CAF">
        <w:t>Subsection 2.6.2—16(2) only allows health claims to be made if both of the following conditions</w:t>
      </w:r>
      <w:r>
        <w:t xml:space="preserve"> </w:t>
      </w:r>
      <w:r w:rsidRPr="00753CAF">
        <w:t>are satisfied:</w:t>
      </w:r>
    </w:p>
    <w:p w14:paraId="6EDFA192" w14:textId="77777777" w:rsidR="00AB6158" w:rsidRPr="00753CAF" w:rsidRDefault="00AB6158" w:rsidP="00AB6158"/>
    <w:p w14:paraId="14465DF2" w14:textId="77777777" w:rsidR="00AB6158" w:rsidRPr="00753CAF" w:rsidRDefault="00AB6158" w:rsidP="00AB6158">
      <w:pPr>
        <w:pStyle w:val="ListParagraph"/>
        <w:numPr>
          <w:ilvl w:val="0"/>
          <w:numId w:val="43"/>
        </w:numPr>
      </w:pPr>
      <w:r w:rsidRPr="00753CAF">
        <w:t>the food has an average osmolality of 200–340 mOsmol/kg; and</w:t>
      </w:r>
    </w:p>
    <w:p w14:paraId="6A8EC2C9" w14:textId="77777777" w:rsidR="00AB6158" w:rsidRDefault="00AB6158" w:rsidP="00AB6158">
      <w:pPr>
        <w:pStyle w:val="ListParagraph"/>
        <w:numPr>
          <w:ilvl w:val="0"/>
          <w:numId w:val="43"/>
        </w:numPr>
      </w:pPr>
      <w:r w:rsidRPr="00753CAF">
        <w:t>the claim is about any of the following:</w:t>
      </w:r>
    </w:p>
    <w:p w14:paraId="01D389DE" w14:textId="77777777" w:rsidR="00AB6158" w:rsidRPr="00753CAF" w:rsidRDefault="00AB6158" w:rsidP="00AB6158">
      <w:pPr>
        <w:pStyle w:val="ListParagraph"/>
      </w:pPr>
    </w:p>
    <w:p w14:paraId="2B5CABE4" w14:textId="77777777" w:rsidR="00AB6158" w:rsidRPr="00DE6760" w:rsidRDefault="00AB6158" w:rsidP="00AB6158">
      <w:pPr>
        <w:pStyle w:val="ListParagraph"/>
        <w:numPr>
          <w:ilvl w:val="0"/>
          <w:numId w:val="44"/>
        </w:numPr>
      </w:pPr>
      <w:r w:rsidRPr="00DE6760">
        <w:lastRenderedPageBreak/>
        <w:t>rapid rehydration in association with words to the effect of ‘after at least 60 minutes or more of strenuous physical activity’;</w:t>
      </w:r>
    </w:p>
    <w:p w14:paraId="1D3B240C" w14:textId="77777777" w:rsidR="00AB6158" w:rsidRPr="00DE6760" w:rsidRDefault="00AB6158" w:rsidP="00AB6158">
      <w:pPr>
        <w:pStyle w:val="ListParagraph"/>
        <w:numPr>
          <w:ilvl w:val="0"/>
          <w:numId w:val="44"/>
        </w:numPr>
      </w:pPr>
      <w:r w:rsidRPr="00DE6760">
        <w:t>rapid hydration in association with words to the effect of ‘during at least 60 minutes or more of strenuous physical activity’;</w:t>
      </w:r>
    </w:p>
    <w:p w14:paraId="00E29F27" w14:textId="77777777" w:rsidR="00AB6158" w:rsidRDefault="00AB6158" w:rsidP="00AB6158">
      <w:pPr>
        <w:pStyle w:val="ListParagraph"/>
        <w:numPr>
          <w:ilvl w:val="0"/>
          <w:numId w:val="44"/>
        </w:numPr>
      </w:pPr>
      <w:r w:rsidRPr="00DE6760">
        <w:t>contribution to the maintenance of performance by rapid hydration in association with words to the effect of ‘during at least 60 minutes or more of strenuous physical activity’.</w:t>
      </w:r>
    </w:p>
    <w:p w14:paraId="110056E4" w14:textId="77777777" w:rsidR="00AB6158" w:rsidRDefault="00AB6158" w:rsidP="00AB6158"/>
    <w:p w14:paraId="55121363" w14:textId="77777777" w:rsidR="00AB6158" w:rsidRDefault="00AB6158" w:rsidP="00AB6158">
      <w:r>
        <w:t>Subsection 2.6.2—16(3) requires that where a health claim is made under subsection 2.6.2— 16(2), the amount of time must be expressed only as a quantifiable amount of time. For example, ‘60 minutes’ or ‘sixty minutes’; ‘1 hour’ or ‘one hour’.</w:t>
      </w:r>
    </w:p>
    <w:p w14:paraId="317EA8E6" w14:textId="77777777" w:rsidR="00AB6158" w:rsidRDefault="00AB6158" w:rsidP="00AB6158"/>
    <w:p w14:paraId="63225F50" w14:textId="77777777" w:rsidR="00AB6158" w:rsidRDefault="00AB6158" w:rsidP="00AB6158">
      <w:r>
        <w:t>Subsection 2.6.2—16(4) clarifies that, subject to subsection 2.6.2—16(3), nothing in section 2.6.2—16 is to be taken to prescribe the words that must be used when making a health claim under this section. For example, one may state ‘exercise’ instead of ‘physical activity’.</w:t>
      </w:r>
    </w:p>
    <w:p w14:paraId="38AF5F26" w14:textId="77777777" w:rsidR="00AB6158" w:rsidRDefault="00AB6158" w:rsidP="00AB6158"/>
    <w:p w14:paraId="3AE1FB8A" w14:textId="77777777" w:rsidR="00AB6158" w:rsidRDefault="00AB6158" w:rsidP="00AB6158">
      <w:r>
        <w:t xml:space="preserve">Section 2.6.2—17 contains the following requirements for making a claim in relation to the tonicity of an electrolyte drink. </w:t>
      </w:r>
    </w:p>
    <w:p w14:paraId="0A7BA298" w14:textId="77777777" w:rsidR="00AB6158" w:rsidRDefault="00AB6158" w:rsidP="00AB6158"/>
    <w:p w14:paraId="4419634E" w14:textId="77777777" w:rsidR="00AB6158" w:rsidRDefault="00AB6158" w:rsidP="00AB6158">
      <w:r>
        <w:t xml:space="preserve">‘Claim’ is defined in subsection 1.1.2—2(3) [see </w:t>
      </w:r>
      <w:r w:rsidRPr="00F57F0B">
        <w:rPr>
          <w:b/>
        </w:rPr>
        <w:t>subitem 3.2</w:t>
      </w:r>
      <w:r>
        <w:t xml:space="preserve"> of the approved draft variation].</w:t>
      </w:r>
    </w:p>
    <w:p w14:paraId="1D03891F" w14:textId="77777777" w:rsidR="00AB6158" w:rsidRDefault="00AB6158" w:rsidP="00AB6158"/>
    <w:p w14:paraId="2BB01F50" w14:textId="77777777" w:rsidR="00AB6158" w:rsidRPr="004300C5" w:rsidRDefault="00AB6158" w:rsidP="00AB6158">
      <w:r w:rsidRPr="004300C5">
        <w:t>Subsection 2.6.2—17(1) only allows a claim to be made that an electrolyte drink is isotonic if</w:t>
      </w:r>
    </w:p>
    <w:p w14:paraId="1EAE0A9E" w14:textId="77777777" w:rsidR="00AB6158" w:rsidRPr="004300C5" w:rsidRDefault="00AB6158" w:rsidP="00AB6158">
      <w:r w:rsidRPr="004300C5">
        <w:t>the electrolyte drink has an average osmolality of 250–340 mOsmol/kg.</w:t>
      </w:r>
    </w:p>
    <w:p w14:paraId="15DA1EFA" w14:textId="77777777" w:rsidR="00AB6158" w:rsidRDefault="00AB6158" w:rsidP="00AB6158"/>
    <w:p w14:paraId="6BE30C8C" w14:textId="3DA48476" w:rsidR="00AB6158" w:rsidRDefault="00AB6158" w:rsidP="00AB6158">
      <w:r w:rsidRPr="004300C5">
        <w:t>Subsection 2.6.2—17(2) requires that</w:t>
      </w:r>
      <w:r>
        <w:t xml:space="preserve">, for </w:t>
      </w:r>
      <w:r w:rsidR="00944E6C">
        <w:t xml:space="preserve">the </w:t>
      </w:r>
      <w:r>
        <w:t>labelling provisions,</w:t>
      </w:r>
      <w:r w:rsidRPr="004300C5">
        <w:t xml:space="preserve"> a declaration of the osmolality of the electrolyte drink,</w:t>
      </w:r>
      <w:r>
        <w:t xml:space="preserve"> </w:t>
      </w:r>
      <w:r w:rsidRPr="004300C5">
        <w:t>(expressed in mOsm/L) be made if a claim is made that an</w:t>
      </w:r>
      <w:r>
        <w:t xml:space="preserve"> </w:t>
      </w:r>
      <w:r w:rsidRPr="004300C5">
        <w:t>electrolyte drink is isotonic, hypertonic or hypotonic.</w:t>
      </w:r>
    </w:p>
    <w:p w14:paraId="00654BC0" w14:textId="77777777" w:rsidR="00AB6158" w:rsidRDefault="00AB6158" w:rsidP="00AB6158"/>
    <w:p w14:paraId="4917C603" w14:textId="77777777" w:rsidR="00AB6158" w:rsidRDefault="00AB6158" w:rsidP="00AB6158">
      <w:r>
        <w:t xml:space="preserve">The </w:t>
      </w:r>
      <w:r w:rsidRPr="0099254D">
        <w:rPr>
          <w:i/>
        </w:rPr>
        <w:t>Note</w:t>
      </w:r>
      <w:r>
        <w:t xml:space="preserve"> to subsection </w:t>
      </w:r>
      <w:r w:rsidRPr="004300C5">
        <w:t xml:space="preserve">2.6.2—17(2) </w:t>
      </w:r>
      <w:r>
        <w:t>explains that the labelling provisions are set out in Standard 1.2.1.</w:t>
      </w:r>
    </w:p>
    <w:p w14:paraId="301442F3" w14:textId="77777777" w:rsidR="00AB6158" w:rsidRDefault="00AB6158" w:rsidP="00AB6158"/>
    <w:p w14:paraId="14592EAF" w14:textId="77777777" w:rsidR="00AB6158" w:rsidRDefault="00AB6158" w:rsidP="00AB6158">
      <w:r>
        <w:t>Section 2.6.2—18 states that subsection 1.2.8—6(12) does not apply to a claim requiring nutrition information that is made in relation to salt or sodium in an electrolyte drink or electrolyte drink base.</w:t>
      </w:r>
    </w:p>
    <w:p w14:paraId="3C60B136" w14:textId="77777777" w:rsidR="00AB6158" w:rsidRDefault="00AB6158" w:rsidP="00AB6158"/>
    <w:p w14:paraId="647B42F3" w14:textId="77777777" w:rsidR="00AB6158" w:rsidRDefault="00AB6158" w:rsidP="00AB6158">
      <w:r>
        <w:t xml:space="preserve">The </w:t>
      </w:r>
      <w:r w:rsidRPr="002C2713">
        <w:rPr>
          <w:i/>
        </w:rPr>
        <w:t>Note</w:t>
      </w:r>
      <w:r>
        <w:t xml:space="preserve"> to section 2.6.2—18 explains that subsection 1.2.8—6(12) provides that, if a claim requiring nutrition information is made in relation to salt or sodium in a food product, the NIP for that product must include a declaration of the average quantity of potassium in accordance with section S12—3.</w:t>
      </w:r>
    </w:p>
    <w:p w14:paraId="67C4586A" w14:textId="77777777" w:rsidR="00AB6158" w:rsidRDefault="00AB6158" w:rsidP="00AB6158"/>
    <w:p w14:paraId="7280C92D" w14:textId="77777777" w:rsidR="00AB6158" w:rsidRPr="00112FAC" w:rsidRDefault="00AB6158" w:rsidP="00AB6158">
      <w:pPr>
        <w:rPr>
          <w:b/>
          <w:i/>
        </w:rPr>
      </w:pPr>
      <w:r w:rsidRPr="00112FAC">
        <w:rPr>
          <w:b/>
          <w:i/>
        </w:rPr>
        <w:t>Transitional arrangements</w:t>
      </w:r>
    </w:p>
    <w:p w14:paraId="51B2A80D" w14:textId="77777777" w:rsidR="00AB6158" w:rsidRDefault="00AB6158" w:rsidP="00AB6158"/>
    <w:p w14:paraId="4DE5D95B" w14:textId="77777777" w:rsidR="00AB6158" w:rsidRPr="00112FAC" w:rsidRDefault="00AB6158" w:rsidP="00AB6158">
      <w:r w:rsidRPr="00112FAC">
        <w:t xml:space="preserve">The above variations will commence or take effect on the date of gazettal. See </w:t>
      </w:r>
      <w:r w:rsidRPr="000D36DB">
        <w:rPr>
          <w:b/>
        </w:rPr>
        <w:t>clause 3</w:t>
      </w:r>
      <w:r w:rsidRPr="00112FAC">
        <w:t xml:space="preserve"> of</w:t>
      </w:r>
    </w:p>
    <w:p w14:paraId="05D061B6" w14:textId="77777777" w:rsidR="00AB6158" w:rsidRDefault="00AB6158" w:rsidP="00AB6158">
      <w:r w:rsidRPr="00112FAC">
        <w:t>the instrument of variation.</w:t>
      </w:r>
    </w:p>
    <w:p w14:paraId="26413AF1" w14:textId="77777777" w:rsidR="00AB6158" w:rsidRPr="00112FAC" w:rsidRDefault="00AB6158" w:rsidP="00AB6158"/>
    <w:p w14:paraId="2F7EEF64" w14:textId="77777777" w:rsidR="00AB6158" w:rsidRPr="00112FAC" w:rsidRDefault="00AB6158" w:rsidP="00AB6158">
      <w:r w:rsidRPr="00112FAC">
        <w:t>The stock-in-trade exemption provided by section 1.1.1—9 of Standard 1.1.1 will not apply to</w:t>
      </w:r>
    </w:p>
    <w:p w14:paraId="33B29FE1" w14:textId="77777777" w:rsidR="00AB6158" w:rsidRDefault="00AB6158" w:rsidP="00AB6158">
      <w:r w:rsidRPr="00112FAC">
        <w:t xml:space="preserve">any of the above variations. See </w:t>
      </w:r>
      <w:r w:rsidRPr="000D36DB">
        <w:rPr>
          <w:b/>
        </w:rPr>
        <w:t>clause 4</w:t>
      </w:r>
      <w:r w:rsidRPr="00112FAC">
        <w:t xml:space="preserve"> of the instrument of variation.</w:t>
      </w:r>
    </w:p>
    <w:p w14:paraId="66AC3854" w14:textId="77777777" w:rsidR="00AB6158" w:rsidRPr="00112FAC" w:rsidRDefault="00AB6158" w:rsidP="00AB6158"/>
    <w:p w14:paraId="77F9D431" w14:textId="77777777" w:rsidR="00AB6158" w:rsidRPr="00112FAC" w:rsidRDefault="00AB6158" w:rsidP="00AB6158">
      <w:r w:rsidRPr="0086078C">
        <w:rPr>
          <w:b/>
        </w:rPr>
        <w:t>Clause 4</w:t>
      </w:r>
      <w:r w:rsidRPr="00112FAC">
        <w:t xml:space="preserve"> provides a transitional arrangement where, during a </w:t>
      </w:r>
      <w:r>
        <w:t>24</w:t>
      </w:r>
      <w:r w:rsidRPr="00112FAC">
        <w:t xml:space="preserve"> month transition period</w:t>
      </w:r>
    </w:p>
    <w:p w14:paraId="464E484C" w14:textId="77777777" w:rsidR="00AB6158" w:rsidRPr="00112FAC" w:rsidRDefault="00AB6158" w:rsidP="00AB6158">
      <w:r w:rsidRPr="00112FAC">
        <w:t>commencing on the date of gazettal, an electrolyte drink or electrolyte drink base may be sold</w:t>
      </w:r>
      <w:r>
        <w:t xml:space="preserve"> </w:t>
      </w:r>
      <w:r w:rsidRPr="00112FAC">
        <w:t xml:space="preserve">if </w:t>
      </w:r>
      <w:r>
        <w:t>the</w:t>
      </w:r>
      <w:r w:rsidRPr="00112FAC">
        <w:t xml:space="preserve"> electrolyte drink or electrolyte drink base complies with either the Code as in force without</w:t>
      </w:r>
      <w:r>
        <w:t xml:space="preserve"> </w:t>
      </w:r>
      <w:r w:rsidRPr="00112FAC">
        <w:t xml:space="preserve">the amendments made by the </w:t>
      </w:r>
      <w:r>
        <w:t>approved</w:t>
      </w:r>
      <w:r w:rsidRPr="00112FAC">
        <w:t xml:space="preserve"> draft variation; or the Code as amended by the</w:t>
      </w:r>
      <w:r>
        <w:t xml:space="preserve"> approved</w:t>
      </w:r>
      <w:r w:rsidRPr="00112FAC">
        <w:t xml:space="preserve"> draft variation. The intent is to provide a </w:t>
      </w:r>
      <w:r>
        <w:t>24</w:t>
      </w:r>
      <w:r w:rsidRPr="00112FAC">
        <w:t xml:space="preserve"> month transitional arrangement that</w:t>
      </w:r>
    </w:p>
    <w:p w14:paraId="5F650941" w14:textId="5416E41F" w:rsidR="00876E33" w:rsidRPr="00876E33" w:rsidRDefault="00AB6158" w:rsidP="004467D0">
      <w:pPr>
        <w:rPr>
          <w:bCs/>
        </w:rPr>
      </w:pPr>
      <w:r w:rsidRPr="00112FAC">
        <w:t>covers both stock-in-trade at the time of the commencement of the variations, as well as</w:t>
      </w:r>
      <w:r w:rsidR="00876E33">
        <w:t xml:space="preserve"> </w:t>
      </w:r>
      <w:r w:rsidRPr="00876E33">
        <w:rPr>
          <w:bCs/>
        </w:rPr>
        <w:t xml:space="preserve">electrolyte drinks or electrolyte drink bases that are packaged, labelled and made available </w:t>
      </w:r>
      <w:r w:rsidRPr="00876E33">
        <w:rPr>
          <w:bCs/>
        </w:rPr>
        <w:lastRenderedPageBreak/>
        <w:t>for sale before the end of the transition period.</w:t>
      </w:r>
    </w:p>
    <w:bookmarkEnd w:id="227"/>
    <w:p w14:paraId="78A46776" w14:textId="63B00979" w:rsidR="00456BD5" w:rsidRDefault="00456BD5" w:rsidP="00456BD5">
      <w:pPr>
        <w:pStyle w:val="Heading2"/>
      </w:pPr>
      <w:r>
        <w:br w:type="page"/>
      </w:r>
    </w:p>
    <w:p w14:paraId="70B05587" w14:textId="7982EE22" w:rsidR="0002640D" w:rsidRPr="0002640D" w:rsidRDefault="003C4969" w:rsidP="0002640D">
      <w:pPr>
        <w:pStyle w:val="Heading2"/>
        <w:ind w:left="0" w:firstLine="0"/>
      </w:pPr>
      <w:bookmarkStart w:id="229" w:name="_Toc100829788"/>
      <w:bookmarkStart w:id="230" w:name="_Toc103090829"/>
      <w:bookmarkStart w:id="231" w:name="_Toc103197723"/>
      <w:r w:rsidRPr="0002640D">
        <w:lastRenderedPageBreak/>
        <w:t xml:space="preserve">Attachment </w:t>
      </w:r>
      <w:bookmarkStart w:id="232" w:name="_Toc11735637"/>
      <w:bookmarkStart w:id="233" w:name="_Toc29883122"/>
      <w:bookmarkStart w:id="234" w:name="_Toc41906809"/>
      <w:bookmarkStart w:id="235" w:name="_Toc41907556"/>
      <w:bookmarkStart w:id="236" w:name="_Toc120358587"/>
      <w:bookmarkStart w:id="237" w:name="_Toc175381446"/>
      <w:bookmarkStart w:id="238" w:name="_Toc175381454"/>
      <w:bookmarkEnd w:id="225"/>
      <w:bookmarkEnd w:id="226"/>
      <w:r w:rsidR="007D0189" w:rsidRPr="0002640D">
        <w:t>C</w:t>
      </w:r>
      <w:r w:rsidR="00486C66" w:rsidRPr="0002640D">
        <w:t xml:space="preserve"> –</w:t>
      </w:r>
      <w:r w:rsidR="00486C66" w:rsidRPr="0002640D" w:rsidDel="00AB6158">
        <w:t xml:space="preserve"> </w:t>
      </w:r>
      <w:r w:rsidR="00AB6158">
        <w:t xml:space="preserve"> </w:t>
      </w:r>
      <w:r w:rsidR="0002640D" w:rsidRPr="0002640D">
        <w:t>Amended Draft variation</w:t>
      </w:r>
      <w:r w:rsidR="00795D86" w:rsidRPr="0002640D">
        <w:t xml:space="preserve"> to the </w:t>
      </w:r>
      <w:r w:rsidR="00795D86" w:rsidRPr="0002640D">
        <w:rPr>
          <w:i/>
        </w:rPr>
        <w:t>Australia New Zealand Food Standards Code</w:t>
      </w:r>
      <w:r w:rsidR="00E47D3B" w:rsidRPr="0002640D">
        <w:rPr>
          <w:i/>
        </w:rPr>
        <w:t xml:space="preserve"> </w:t>
      </w:r>
      <w:r w:rsidR="00E47D3B" w:rsidRPr="0002640D">
        <w:t>(</w:t>
      </w:r>
      <w:r w:rsidR="0002640D" w:rsidRPr="0002640D">
        <w:t>consultation paper</w:t>
      </w:r>
      <w:r w:rsidR="00E47D3B" w:rsidRPr="0002640D">
        <w:t>)</w:t>
      </w:r>
      <w:bookmarkStart w:id="239" w:name="_Toc60825031"/>
      <w:bookmarkStart w:id="240" w:name="_Toc61442332"/>
      <w:bookmarkStart w:id="241" w:name="_Toc61449876"/>
      <w:bookmarkStart w:id="242" w:name="_Toc63342520"/>
      <w:bookmarkStart w:id="243" w:name="_Toc71711657"/>
      <w:bookmarkStart w:id="244" w:name="_Toc72673591"/>
      <w:bookmarkEnd w:id="229"/>
      <w:bookmarkEnd w:id="230"/>
      <w:bookmarkEnd w:id="231"/>
      <w:bookmarkEnd w:id="239"/>
      <w:bookmarkEnd w:id="240"/>
      <w:bookmarkEnd w:id="241"/>
      <w:bookmarkEnd w:id="242"/>
      <w:bookmarkEnd w:id="243"/>
      <w:bookmarkEnd w:id="244"/>
    </w:p>
    <w:p w14:paraId="37CE1401" w14:textId="77777777" w:rsidR="0002640D" w:rsidRPr="00C0014E" w:rsidRDefault="0002640D" w:rsidP="0002640D">
      <w:pPr>
        <w:rPr>
          <w:noProof/>
          <w:sz w:val="20"/>
          <w:lang w:val="en-AU" w:eastAsia="en-AU"/>
        </w:rPr>
      </w:pPr>
      <w:r w:rsidRPr="00C0014E">
        <w:rPr>
          <w:noProof/>
          <w:sz w:val="20"/>
          <w:lang w:eastAsia="en-GB" w:bidi="ar-SA"/>
        </w:rPr>
        <w:drawing>
          <wp:inline distT="0" distB="0" distL="0" distR="0" wp14:anchorId="2D43DBF3" wp14:editId="1F59D49E">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7E23CDB" w14:textId="77777777" w:rsidR="0002640D" w:rsidRPr="006153A1" w:rsidRDefault="0002640D" w:rsidP="0002640D">
      <w:pPr>
        <w:pBdr>
          <w:bottom w:val="single" w:sz="4" w:space="1" w:color="auto"/>
        </w:pBdr>
        <w:rPr>
          <w:b/>
          <w:bCs/>
        </w:rPr>
      </w:pPr>
    </w:p>
    <w:p w14:paraId="3D459D3D" w14:textId="77777777" w:rsidR="0002640D" w:rsidRDefault="0002640D" w:rsidP="0002640D">
      <w:pPr>
        <w:pBdr>
          <w:bottom w:val="single" w:sz="4" w:space="1" w:color="auto"/>
        </w:pBdr>
        <w:rPr>
          <w:b/>
          <w:sz w:val="20"/>
        </w:rPr>
      </w:pPr>
      <w:r w:rsidRPr="006153A1">
        <w:rPr>
          <w:b/>
          <w:sz w:val="20"/>
        </w:rPr>
        <w:t>Food Standards (</w:t>
      </w:r>
      <w:r w:rsidRPr="00F618DF">
        <w:rPr>
          <w:b/>
          <w:sz w:val="20"/>
        </w:rPr>
        <w:t>Proposal P</w:t>
      </w:r>
      <w:r>
        <w:rPr>
          <w:b/>
          <w:sz w:val="20"/>
        </w:rPr>
        <w:t>1030</w:t>
      </w:r>
      <w:r w:rsidRPr="00F618DF">
        <w:rPr>
          <w:b/>
          <w:sz w:val="20"/>
        </w:rPr>
        <w:t xml:space="preserve"> </w:t>
      </w:r>
      <w:r w:rsidRPr="00A32232">
        <w:rPr>
          <w:b/>
          <w:sz w:val="20"/>
        </w:rPr>
        <w:t xml:space="preserve">– </w:t>
      </w:r>
      <w:r>
        <w:rPr>
          <w:b/>
          <w:sz w:val="20"/>
        </w:rPr>
        <w:t>Composition and Labelling of Electrolyte Drinks)</w:t>
      </w:r>
      <w:r w:rsidRPr="00C0014E">
        <w:rPr>
          <w:b/>
          <w:sz w:val="20"/>
        </w:rPr>
        <w:t xml:space="preserve"> Variation</w:t>
      </w:r>
    </w:p>
    <w:p w14:paraId="32ADF46B" w14:textId="77777777" w:rsidR="0002640D" w:rsidRPr="00C0014E" w:rsidRDefault="0002640D" w:rsidP="0002640D">
      <w:pPr>
        <w:pBdr>
          <w:bottom w:val="single" w:sz="4" w:space="1" w:color="auto"/>
        </w:pBdr>
        <w:rPr>
          <w:b/>
          <w:sz w:val="20"/>
        </w:rPr>
      </w:pPr>
    </w:p>
    <w:p w14:paraId="56867CBE" w14:textId="77777777" w:rsidR="0002640D" w:rsidRPr="008F2616" w:rsidRDefault="0002640D" w:rsidP="0002640D">
      <w:pPr>
        <w:rPr>
          <w:sz w:val="20"/>
        </w:rPr>
      </w:pPr>
    </w:p>
    <w:p w14:paraId="006C76FE" w14:textId="77777777" w:rsidR="0002640D" w:rsidRPr="008F2616" w:rsidRDefault="0002640D" w:rsidP="0002640D">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5C1DAC50" w14:textId="77777777" w:rsidR="0002640D" w:rsidRPr="008F2616" w:rsidRDefault="0002640D" w:rsidP="0002640D">
      <w:pPr>
        <w:rPr>
          <w:sz w:val="20"/>
        </w:rPr>
      </w:pPr>
    </w:p>
    <w:p w14:paraId="7968622F" w14:textId="77777777" w:rsidR="0002640D" w:rsidRPr="0007791C" w:rsidRDefault="0002640D" w:rsidP="0002640D">
      <w:pPr>
        <w:rPr>
          <w:color w:val="FF0000"/>
          <w:sz w:val="20"/>
        </w:rPr>
      </w:pPr>
      <w:r w:rsidRPr="008F2616">
        <w:rPr>
          <w:sz w:val="20"/>
        </w:rPr>
        <w:t xml:space="preserve">Dated </w:t>
      </w:r>
      <w:r w:rsidRPr="0007791C">
        <w:rPr>
          <w:color w:val="FF0000"/>
          <w:sz w:val="20"/>
        </w:rPr>
        <w:t xml:space="preserve">[To be completed by </w:t>
      </w:r>
      <w:r>
        <w:rPr>
          <w:color w:val="FF0000"/>
          <w:sz w:val="20"/>
        </w:rPr>
        <w:t>the Delegate</w:t>
      </w:r>
      <w:r w:rsidRPr="0007791C">
        <w:rPr>
          <w:color w:val="FF0000"/>
          <w:sz w:val="20"/>
        </w:rPr>
        <w:t>]</w:t>
      </w:r>
    </w:p>
    <w:p w14:paraId="348BAAAC" w14:textId="77777777" w:rsidR="0002640D" w:rsidRPr="008F2616" w:rsidRDefault="0002640D" w:rsidP="0002640D">
      <w:pPr>
        <w:rPr>
          <w:sz w:val="20"/>
        </w:rPr>
      </w:pPr>
    </w:p>
    <w:p w14:paraId="6D1F5D3A" w14:textId="77777777" w:rsidR="0002640D" w:rsidRDefault="0002640D" w:rsidP="0002640D">
      <w:pPr>
        <w:rPr>
          <w:sz w:val="20"/>
        </w:rPr>
      </w:pPr>
    </w:p>
    <w:p w14:paraId="6748649E" w14:textId="77777777" w:rsidR="0002640D" w:rsidRDefault="0002640D" w:rsidP="0002640D">
      <w:pPr>
        <w:rPr>
          <w:sz w:val="20"/>
        </w:rPr>
      </w:pPr>
    </w:p>
    <w:p w14:paraId="5F48E6A0" w14:textId="77777777" w:rsidR="0002640D" w:rsidRPr="008F2616" w:rsidRDefault="0002640D" w:rsidP="0002640D">
      <w:pPr>
        <w:rPr>
          <w:sz w:val="20"/>
        </w:rPr>
      </w:pPr>
    </w:p>
    <w:p w14:paraId="0AC4712E" w14:textId="77777777" w:rsidR="0002640D" w:rsidRPr="008F2616" w:rsidRDefault="0002640D" w:rsidP="0002640D">
      <w:pPr>
        <w:rPr>
          <w:sz w:val="20"/>
        </w:rPr>
      </w:pPr>
    </w:p>
    <w:p w14:paraId="2D369827" w14:textId="77777777" w:rsidR="0002640D" w:rsidRPr="0007791C" w:rsidRDefault="0002640D" w:rsidP="0002640D">
      <w:pPr>
        <w:rPr>
          <w:color w:val="FF0000"/>
          <w:sz w:val="20"/>
        </w:rPr>
      </w:pPr>
      <w:r w:rsidRPr="0007791C">
        <w:rPr>
          <w:color w:val="FF0000"/>
          <w:sz w:val="20"/>
        </w:rPr>
        <w:t>[To be signed by Delegate]</w:t>
      </w:r>
    </w:p>
    <w:p w14:paraId="2277CA9D" w14:textId="77777777" w:rsidR="0002640D" w:rsidRPr="008F2616" w:rsidRDefault="0002640D" w:rsidP="0002640D">
      <w:pPr>
        <w:rPr>
          <w:sz w:val="20"/>
        </w:rPr>
      </w:pPr>
      <w:r w:rsidRPr="008F2616">
        <w:rPr>
          <w:sz w:val="20"/>
        </w:rPr>
        <w:t>Delegate of the Board of Food Standards Australia New Zealand</w:t>
      </w:r>
    </w:p>
    <w:p w14:paraId="68A4B695" w14:textId="77777777" w:rsidR="0002640D" w:rsidRDefault="0002640D" w:rsidP="0002640D">
      <w:pPr>
        <w:rPr>
          <w:sz w:val="20"/>
        </w:rPr>
      </w:pPr>
    </w:p>
    <w:p w14:paraId="11FD7242" w14:textId="77777777" w:rsidR="0002640D" w:rsidRDefault="0002640D" w:rsidP="0002640D">
      <w:pPr>
        <w:rPr>
          <w:sz w:val="20"/>
        </w:rPr>
      </w:pPr>
    </w:p>
    <w:p w14:paraId="431518AE" w14:textId="77777777" w:rsidR="0002640D" w:rsidRDefault="0002640D" w:rsidP="0002640D">
      <w:pPr>
        <w:rPr>
          <w:sz w:val="20"/>
        </w:rPr>
      </w:pPr>
    </w:p>
    <w:p w14:paraId="1B60A8B9" w14:textId="77777777" w:rsidR="0002640D" w:rsidRDefault="0002640D" w:rsidP="0002640D">
      <w:pPr>
        <w:rPr>
          <w:sz w:val="20"/>
        </w:rPr>
      </w:pPr>
    </w:p>
    <w:p w14:paraId="66358F0E" w14:textId="77777777" w:rsidR="0002640D" w:rsidRDefault="0002640D" w:rsidP="0002640D">
      <w:pPr>
        <w:rPr>
          <w:sz w:val="20"/>
        </w:rPr>
      </w:pPr>
    </w:p>
    <w:p w14:paraId="2FBE01BA" w14:textId="77777777" w:rsidR="0002640D" w:rsidRPr="00835019" w:rsidRDefault="0002640D" w:rsidP="0002640D">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Note:</w:t>
      </w:r>
    </w:p>
    <w:p w14:paraId="2754F6CB" w14:textId="77777777" w:rsidR="0002640D" w:rsidRPr="00360C8F" w:rsidRDefault="0002640D" w:rsidP="0002640D">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018C8265" w14:textId="77777777" w:rsidR="0002640D" w:rsidRDefault="0002640D" w:rsidP="0002640D">
      <w:pPr>
        <w:rPr>
          <w:sz w:val="20"/>
        </w:rPr>
      </w:pPr>
    </w:p>
    <w:p w14:paraId="06731C76" w14:textId="77777777" w:rsidR="0002640D" w:rsidRDefault="0002640D" w:rsidP="0002640D">
      <w:pPr>
        <w:widowControl/>
        <w:rPr>
          <w:sz w:val="20"/>
        </w:rPr>
      </w:pPr>
      <w:r>
        <w:rPr>
          <w:sz w:val="20"/>
        </w:rPr>
        <w:br w:type="page"/>
      </w:r>
    </w:p>
    <w:p w14:paraId="09177E17" w14:textId="77777777" w:rsidR="0002640D" w:rsidRPr="005F585D" w:rsidRDefault="0002640D" w:rsidP="0002640D">
      <w:pPr>
        <w:pStyle w:val="FSCDraftingitemheading"/>
      </w:pPr>
      <w:r w:rsidRPr="00D433B1">
        <w:lastRenderedPageBreak/>
        <w:t>1</w:t>
      </w:r>
      <w:r w:rsidRPr="00D433B1">
        <w:tab/>
        <w:t>Name</w:t>
      </w:r>
    </w:p>
    <w:p w14:paraId="654CDF33" w14:textId="77777777" w:rsidR="0002640D" w:rsidRPr="00F618DF" w:rsidRDefault="0002640D" w:rsidP="0002640D">
      <w:pPr>
        <w:pStyle w:val="FSCDraftingitem"/>
      </w:pPr>
      <w:r w:rsidRPr="00DB170D">
        <w:t xml:space="preserve">This instrument is the </w:t>
      </w:r>
      <w:r w:rsidRPr="00792F7C">
        <w:rPr>
          <w:i/>
        </w:rPr>
        <w:t>Food Standards (</w:t>
      </w:r>
      <w:r w:rsidRPr="0007791C">
        <w:rPr>
          <w:i/>
        </w:rPr>
        <w:t>Proposal P10</w:t>
      </w:r>
      <w:r>
        <w:rPr>
          <w:i/>
        </w:rPr>
        <w:t>3</w:t>
      </w:r>
      <w:r w:rsidRPr="0007791C">
        <w:rPr>
          <w:i/>
        </w:rPr>
        <w:t xml:space="preserve">0 – Composition and </w:t>
      </w:r>
      <w:r>
        <w:rPr>
          <w:i/>
        </w:rPr>
        <w:t>L</w:t>
      </w:r>
      <w:r w:rsidRPr="0007791C">
        <w:rPr>
          <w:i/>
        </w:rPr>
        <w:t xml:space="preserve">abelling of </w:t>
      </w:r>
      <w:r>
        <w:rPr>
          <w:i/>
        </w:rPr>
        <w:t>E</w:t>
      </w:r>
      <w:r w:rsidRPr="0007791C">
        <w:rPr>
          <w:i/>
        </w:rPr>
        <w:t xml:space="preserve">lectrolyte </w:t>
      </w:r>
      <w:r>
        <w:rPr>
          <w:i/>
        </w:rPr>
        <w:t>D</w:t>
      </w:r>
      <w:r w:rsidRPr="0007791C">
        <w:rPr>
          <w:i/>
        </w:rPr>
        <w:t>rinks</w:t>
      </w:r>
      <w:r w:rsidRPr="00792F7C">
        <w:rPr>
          <w:i/>
        </w:rPr>
        <w:t>) Variation</w:t>
      </w:r>
      <w:r w:rsidRPr="00F618DF">
        <w:t>.</w:t>
      </w:r>
    </w:p>
    <w:p w14:paraId="511B93DB" w14:textId="77777777" w:rsidR="0002640D" w:rsidRPr="0007791C" w:rsidRDefault="0002640D" w:rsidP="0002640D">
      <w:pPr>
        <w:pStyle w:val="FSCDraftingitemheading"/>
      </w:pPr>
      <w:r w:rsidRPr="00D433B1">
        <w:t>2</w:t>
      </w:r>
      <w:r w:rsidRPr="00D433B1">
        <w:tab/>
        <w:t xml:space="preserve">Variation </w:t>
      </w:r>
      <w:r w:rsidRPr="0007791C">
        <w:t xml:space="preserve">to </w:t>
      </w:r>
      <w:r>
        <w:t>S</w:t>
      </w:r>
      <w:r w:rsidRPr="0007791C">
        <w:t xml:space="preserve">tandards in the </w:t>
      </w:r>
      <w:r w:rsidRPr="0007791C">
        <w:rPr>
          <w:i/>
        </w:rPr>
        <w:t>Australia New Zealand Food Standards Code</w:t>
      </w:r>
    </w:p>
    <w:p w14:paraId="2A040CEE" w14:textId="77777777" w:rsidR="0002640D" w:rsidRDefault="0002640D" w:rsidP="0002640D">
      <w:pPr>
        <w:pStyle w:val="FSCDraftingitem"/>
      </w:pPr>
      <w:r w:rsidRPr="0007791C">
        <w:t xml:space="preserve">The Schedule varies Standards in the </w:t>
      </w:r>
      <w:r w:rsidRPr="00792F7C">
        <w:rPr>
          <w:i/>
        </w:rPr>
        <w:t>Australia New Zealand Food Standards Code</w:t>
      </w:r>
      <w:r>
        <w:t>.</w:t>
      </w:r>
    </w:p>
    <w:p w14:paraId="7870CE2A" w14:textId="77777777" w:rsidR="0002640D" w:rsidRPr="00D433B1" w:rsidRDefault="0002640D" w:rsidP="0002640D">
      <w:pPr>
        <w:pStyle w:val="FSCDraftingitemheading"/>
      </w:pPr>
      <w:r w:rsidRPr="00D433B1">
        <w:t>3</w:t>
      </w:r>
      <w:r w:rsidRPr="00D433B1">
        <w:tab/>
        <w:t>Commencement</w:t>
      </w:r>
    </w:p>
    <w:p w14:paraId="1AA21AF2" w14:textId="77777777" w:rsidR="0002640D" w:rsidRDefault="0002640D" w:rsidP="0002640D">
      <w:pPr>
        <w:pStyle w:val="FSCDraftingitem"/>
      </w:pPr>
      <w:r>
        <w:t>The variation commenc</w:t>
      </w:r>
      <w:r w:rsidRPr="000055C4">
        <w:t>e</w:t>
      </w:r>
      <w:r>
        <w:t>s</w:t>
      </w:r>
      <w:r w:rsidRPr="000055C4">
        <w:t xml:space="preserve"> on</w:t>
      </w:r>
      <w:r>
        <w:t xml:space="preserve"> the date of gazettal.</w:t>
      </w:r>
    </w:p>
    <w:p w14:paraId="57F068CA" w14:textId="77777777" w:rsidR="0002640D" w:rsidRPr="00A63AA5" w:rsidRDefault="0002640D" w:rsidP="0002640D">
      <w:pPr>
        <w:pStyle w:val="FSCDraftingitem"/>
        <w:rPr>
          <w:b/>
        </w:rPr>
      </w:pPr>
      <w:r w:rsidRPr="00A63AA5">
        <w:rPr>
          <w:b/>
        </w:rPr>
        <w:t>4</w:t>
      </w:r>
      <w:r w:rsidRPr="00A63AA5">
        <w:rPr>
          <w:b/>
        </w:rPr>
        <w:tab/>
        <w:t>Effect of the variations made by this instrument</w:t>
      </w:r>
    </w:p>
    <w:p w14:paraId="3CF0F409" w14:textId="77777777" w:rsidR="0002640D" w:rsidRPr="00A63AA5" w:rsidRDefault="0002640D" w:rsidP="0002640D">
      <w:pPr>
        <w:spacing w:before="120" w:after="120"/>
        <w:ind w:left="851" w:hanging="851"/>
        <w:rPr>
          <w:iCs/>
          <w:sz w:val="20"/>
          <w:lang w:eastAsia="en-AU"/>
        </w:rPr>
      </w:pPr>
      <w:r w:rsidRPr="00A63AA5">
        <w:rPr>
          <w:iCs/>
          <w:sz w:val="20"/>
          <w:lang w:eastAsia="en-AU"/>
        </w:rPr>
        <w:t>(1)</w:t>
      </w:r>
      <w:r w:rsidRPr="00A63AA5">
        <w:rPr>
          <w:iCs/>
          <w:sz w:val="20"/>
          <w:lang w:eastAsia="en-AU"/>
        </w:rPr>
        <w:tab/>
        <w:t>Section 1.1.1—9 of Standard 1.1.1 does not apply to the variations made by this instrument.</w:t>
      </w:r>
    </w:p>
    <w:p w14:paraId="02CED145" w14:textId="77777777" w:rsidR="0002640D" w:rsidRPr="00A63AA5" w:rsidRDefault="0002640D" w:rsidP="0002640D">
      <w:pPr>
        <w:spacing w:before="120" w:after="240"/>
        <w:ind w:left="851" w:hanging="851"/>
        <w:rPr>
          <w:iCs/>
          <w:sz w:val="20"/>
          <w:lang w:eastAsia="en-AU"/>
        </w:rPr>
      </w:pPr>
      <w:r w:rsidRPr="00A63AA5">
        <w:rPr>
          <w:iCs/>
          <w:sz w:val="20"/>
          <w:lang w:eastAsia="en-AU"/>
        </w:rPr>
        <w:t>(2)</w:t>
      </w:r>
      <w:r w:rsidRPr="00A63AA5">
        <w:rPr>
          <w:iCs/>
          <w:sz w:val="20"/>
          <w:lang w:eastAsia="en-AU"/>
        </w:rPr>
        <w:tab/>
        <w:t>During the transition period, a food product may be sold if the food product complies with one of the following:</w:t>
      </w:r>
    </w:p>
    <w:p w14:paraId="533EE8EE" w14:textId="77777777" w:rsidR="0002640D" w:rsidRPr="00A63AA5" w:rsidRDefault="0002640D" w:rsidP="0002640D">
      <w:pPr>
        <w:tabs>
          <w:tab w:val="left" w:pos="1418"/>
        </w:tabs>
        <w:ind w:left="851" w:hanging="1985"/>
        <w:rPr>
          <w:iCs/>
          <w:sz w:val="20"/>
          <w:lang w:eastAsia="en-AU"/>
        </w:rPr>
      </w:pPr>
      <w:r w:rsidRPr="00A63AA5">
        <w:rPr>
          <w:iCs/>
          <w:sz w:val="20"/>
          <w:lang w:eastAsia="en-AU"/>
        </w:rPr>
        <w:tab/>
        <w:t xml:space="preserve">(a) </w:t>
      </w:r>
      <w:r w:rsidRPr="00A63AA5">
        <w:rPr>
          <w:iCs/>
          <w:sz w:val="20"/>
          <w:lang w:eastAsia="en-AU"/>
        </w:rPr>
        <w:tab/>
        <w:t>the Code as in force without the variations made by this instrument; or</w:t>
      </w:r>
    </w:p>
    <w:p w14:paraId="2F7ADA64" w14:textId="77777777" w:rsidR="0002640D" w:rsidRPr="00A63AA5" w:rsidRDefault="0002640D" w:rsidP="0002640D">
      <w:pPr>
        <w:widowControl/>
        <w:tabs>
          <w:tab w:val="left" w:pos="1418"/>
          <w:tab w:val="left" w:pos="1843"/>
        </w:tabs>
        <w:spacing w:before="120" w:after="120"/>
        <w:ind w:left="993" w:hanging="142"/>
        <w:rPr>
          <w:rFonts w:cs="Arial"/>
          <w:iCs/>
          <w:sz w:val="20"/>
          <w:szCs w:val="22"/>
          <w:lang w:eastAsia="en-AU"/>
        </w:rPr>
      </w:pPr>
      <w:r w:rsidRPr="00A63AA5">
        <w:rPr>
          <w:rFonts w:cs="Arial"/>
          <w:iCs/>
          <w:sz w:val="20"/>
          <w:szCs w:val="22"/>
          <w:lang w:eastAsia="en-AU"/>
        </w:rPr>
        <w:t>(b)      the Code as amended by the variations made by this instrument.</w:t>
      </w:r>
    </w:p>
    <w:p w14:paraId="1718F656" w14:textId="77777777" w:rsidR="0002640D" w:rsidRDefault="0002640D" w:rsidP="0002640D">
      <w:pPr>
        <w:widowControl/>
        <w:tabs>
          <w:tab w:val="left" w:pos="1843"/>
        </w:tabs>
        <w:spacing w:before="120" w:after="120"/>
        <w:ind w:left="851" w:hanging="851"/>
        <w:rPr>
          <w:rFonts w:cs="Arial"/>
          <w:iCs/>
          <w:sz w:val="20"/>
          <w:szCs w:val="22"/>
          <w:lang w:eastAsia="en-AU"/>
        </w:rPr>
      </w:pPr>
      <w:r w:rsidRPr="00A63AA5">
        <w:rPr>
          <w:sz w:val="20"/>
        </w:rPr>
        <w:t>(</w:t>
      </w:r>
      <w:r>
        <w:rPr>
          <w:sz w:val="20"/>
        </w:rPr>
        <w:t>3</w:t>
      </w:r>
      <w:r w:rsidRPr="00A63AA5">
        <w:rPr>
          <w:sz w:val="20"/>
        </w:rPr>
        <w:t>)</w:t>
      </w:r>
      <w:r w:rsidRPr="00A63AA5">
        <w:rPr>
          <w:sz w:val="20"/>
        </w:rPr>
        <w:tab/>
      </w:r>
      <w:r w:rsidRPr="00A63AA5">
        <w:rPr>
          <w:rFonts w:cs="Arial"/>
          <w:iCs/>
          <w:sz w:val="20"/>
          <w:szCs w:val="22"/>
          <w:lang w:eastAsia="en-AU"/>
        </w:rPr>
        <w:t>For the purposes of this clause</w:t>
      </w:r>
      <w:r>
        <w:rPr>
          <w:rFonts w:cs="Arial"/>
          <w:b/>
          <w:iCs/>
          <w:sz w:val="20"/>
          <w:szCs w:val="22"/>
          <w:lang w:eastAsia="en-AU"/>
        </w:rPr>
        <w:t xml:space="preserve">, </w:t>
      </w:r>
      <w:r w:rsidRPr="00A63AA5">
        <w:rPr>
          <w:rFonts w:cs="Arial"/>
          <w:b/>
          <w:iCs/>
          <w:sz w:val="20"/>
          <w:szCs w:val="22"/>
          <w:lang w:eastAsia="en-AU"/>
        </w:rPr>
        <w:t>transition period</w:t>
      </w:r>
      <w:r w:rsidRPr="00A63AA5">
        <w:rPr>
          <w:rFonts w:cs="Arial"/>
          <w:iCs/>
          <w:sz w:val="20"/>
          <w:szCs w:val="22"/>
          <w:lang w:eastAsia="en-AU"/>
        </w:rPr>
        <w:t xml:space="preserve"> means the period commencing on the variation’s date of commencement and ending </w:t>
      </w:r>
      <w:r>
        <w:rPr>
          <w:rFonts w:cs="Arial"/>
          <w:iCs/>
          <w:sz w:val="20"/>
          <w:szCs w:val="22"/>
          <w:lang w:eastAsia="en-AU"/>
        </w:rPr>
        <w:t>12</w:t>
      </w:r>
      <w:r w:rsidRPr="00A63AA5">
        <w:rPr>
          <w:rFonts w:cs="Arial"/>
          <w:iCs/>
          <w:sz w:val="20"/>
          <w:szCs w:val="22"/>
          <w:lang w:eastAsia="en-AU"/>
        </w:rPr>
        <w:t xml:space="preserve"> months after the date of commencement</w:t>
      </w:r>
      <w:r>
        <w:rPr>
          <w:rFonts w:cs="Arial"/>
          <w:iCs/>
          <w:sz w:val="20"/>
          <w:szCs w:val="22"/>
          <w:lang w:eastAsia="en-AU"/>
        </w:rPr>
        <w:t>.</w:t>
      </w:r>
    </w:p>
    <w:p w14:paraId="33AF0A13" w14:textId="77777777" w:rsidR="0002640D" w:rsidRPr="00A63AA5" w:rsidRDefault="0002640D" w:rsidP="0002640D">
      <w:pPr>
        <w:widowControl/>
        <w:tabs>
          <w:tab w:val="left" w:pos="1843"/>
        </w:tabs>
        <w:spacing w:before="120" w:after="120"/>
        <w:ind w:left="851" w:hanging="851"/>
        <w:rPr>
          <w:rFonts w:cs="Arial"/>
          <w:iCs/>
          <w:sz w:val="20"/>
          <w:szCs w:val="22"/>
          <w:lang w:eastAsia="en-AU"/>
        </w:rPr>
      </w:pPr>
    </w:p>
    <w:p w14:paraId="5D2243A8" w14:textId="77777777" w:rsidR="0002640D" w:rsidRPr="00D433B1" w:rsidRDefault="0002640D" w:rsidP="0002640D">
      <w:pPr>
        <w:jc w:val="center"/>
        <w:rPr>
          <w:b/>
          <w:sz w:val="20"/>
        </w:rPr>
      </w:pPr>
      <w:r w:rsidRPr="00D433B1">
        <w:rPr>
          <w:b/>
          <w:sz w:val="20"/>
        </w:rPr>
        <w:t>Schedule</w:t>
      </w:r>
    </w:p>
    <w:p w14:paraId="068A6C2F" w14:textId="77777777" w:rsidR="0002640D" w:rsidRPr="00006191" w:rsidRDefault="0002640D" w:rsidP="0002640D">
      <w:pPr>
        <w:pStyle w:val="FSCDraftingitem"/>
      </w:pPr>
      <w:r w:rsidRPr="00DA14FC">
        <w:rPr>
          <w:b/>
          <w:lang w:bidi="en-US"/>
        </w:rPr>
        <w:t>[1]</w:t>
      </w:r>
      <w:r w:rsidRPr="00DA14FC">
        <w:rPr>
          <w:b/>
          <w:lang w:bidi="en-US"/>
        </w:rPr>
        <w:tab/>
      </w:r>
      <w:r w:rsidRPr="00006191">
        <w:rPr>
          <w:b/>
          <w:lang w:bidi="en-US"/>
        </w:rPr>
        <w:t>Standard 1.</w:t>
      </w:r>
      <w:r>
        <w:rPr>
          <w:b/>
          <w:lang w:bidi="en-US"/>
        </w:rPr>
        <w:t>1</w:t>
      </w:r>
      <w:r w:rsidRPr="00006191">
        <w:rPr>
          <w:b/>
          <w:lang w:bidi="en-US"/>
        </w:rPr>
        <w:t>.</w:t>
      </w:r>
      <w:r>
        <w:rPr>
          <w:b/>
          <w:lang w:bidi="en-US"/>
        </w:rPr>
        <w:t>2</w:t>
      </w:r>
      <w:r w:rsidRPr="00006191">
        <w:rPr>
          <w:lang w:bidi="en-US"/>
        </w:rPr>
        <w:t xml:space="preserve"> is varied by</w:t>
      </w:r>
      <w:r w:rsidRPr="00006191">
        <w:t xml:space="preserve"> omitting the definition of ‘electrolyte drink’ in subsection 1.1.2—3(2), substituting</w:t>
      </w:r>
    </w:p>
    <w:p w14:paraId="07650CFC" w14:textId="77777777" w:rsidR="0002640D" w:rsidRDefault="0002640D" w:rsidP="0002640D">
      <w:pPr>
        <w:pStyle w:val="FSCtDefn"/>
      </w:pPr>
      <w:r w:rsidRPr="003C5A28">
        <w:rPr>
          <w:b/>
          <w:i/>
        </w:rPr>
        <w:t>electrolyte drink</w:t>
      </w:r>
      <w:r w:rsidRPr="003C5A28">
        <w:t xml:space="preserve"> means</w:t>
      </w:r>
      <w:r>
        <w:t xml:space="preserve"> a drink formulated for the rapid replacement of fluid and electrolytes during or after 60 minutes or more of strenuous physical activity.</w:t>
      </w:r>
    </w:p>
    <w:p w14:paraId="4AAFE514" w14:textId="77777777" w:rsidR="0002640D" w:rsidRDefault="0002640D" w:rsidP="0002640D">
      <w:pPr>
        <w:pStyle w:val="FSCDraftingitem"/>
        <w:rPr>
          <w:lang w:bidi="en-US"/>
        </w:rPr>
      </w:pPr>
      <w:r>
        <w:rPr>
          <w:b/>
        </w:rPr>
        <w:t>[2]</w:t>
      </w:r>
      <w:r>
        <w:rPr>
          <w:b/>
        </w:rPr>
        <w:tab/>
      </w:r>
      <w:r w:rsidRPr="00006191">
        <w:rPr>
          <w:b/>
          <w:lang w:bidi="en-US"/>
        </w:rPr>
        <w:t>Standard 1.</w:t>
      </w:r>
      <w:r>
        <w:rPr>
          <w:b/>
          <w:lang w:bidi="en-US"/>
        </w:rPr>
        <w:t>2</w:t>
      </w:r>
      <w:r w:rsidRPr="00006191">
        <w:rPr>
          <w:b/>
          <w:lang w:bidi="en-US"/>
        </w:rPr>
        <w:t>.</w:t>
      </w:r>
      <w:r>
        <w:rPr>
          <w:b/>
          <w:lang w:bidi="en-US"/>
        </w:rPr>
        <w:t>1</w:t>
      </w:r>
      <w:r w:rsidRPr="00006191">
        <w:rPr>
          <w:lang w:bidi="en-US"/>
        </w:rPr>
        <w:t xml:space="preserve"> is varied by</w:t>
      </w:r>
      <w:r>
        <w:rPr>
          <w:lang w:bidi="en-US"/>
        </w:rPr>
        <w:t xml:space="preserve"> omitting paragraph 1.2.1—8(1)(t), substituting</w:t>
      </w:r>
    </w:p>
    <w:p w14:paraId="58F41FAF" w14:textId="77777777" w:rsidR="0002640D" w:rsidRDefault="0002640D" w:rsidP="0002640D">
      <w:pPr>
        <w:pStyle w:val="FSCtPara"/>
        <w:tabs>
          <w:tab w:val="clear" w:pos="1701"/>
        </w:tabs>
        <w:ind w:left="1418" w:hanging="567"/>
        <w:rPr>
          <w:color w:val="FF0000"/>
        </w:rPr>
      </w:pPr>
      <w:r w:rsidRPr="00BE716A">
        <w:t>(t)</w:t>
      </w:r>
      <w:r w:rsidRPr="00BE716A">
        <w:tab/>
        <w:t xml:space="preserve">the declarations and other information </w:t>
      </w:r>
      <w:r>
        <w:t xml:space="preserve">required </w:t>
      </w:r>
      <w:r w:rsidRPr="00BE716A">
        <w:t>for electrolyte drinks and for electrolyte drink bases (see Standard 2.6.2);</w:t>
      </w:r>
      <w:r w:rsidRPr="009C5952">
        <w:rPr>
          <w:color w:val="FF0000"/>
        </w:rPr>
        <w:tab/>
      </w:r>
    </w:p>
    <w:p w14:paraId="28705A3D" w14:textId="77777777" w:rsidR="0002640D" w:rsidRDefault="0002640D" w:rsidP="0002640D">
      <w:pPr>
        <w:pStyle w:val="FSCDraftingitem"/>
      </w:pPr>
      <w:r w:rsidRPr="00006191">
        <w:rPr>
          <w:b/>
        </w:rPr>
        <w:t>[</w:t>
      </w:r>
      <w:r>
        <w:rPr>
          <w:b/>
        </w:rPr>
        <w:t>3</w:t>
      </w:r>
      <w:r w:rsidRPr="00006191">
        <w:rPr>
          <w:b/>
        </w:rPr>
        <w:t>]</w:t>
      </w:r>
      <w:r w:rsidRPr="00006191">
        <w:rPr>
          <w:b/>
        </w:rPr>
        <w:tab/>
        <w:t>Standard 2.6.2</w:t>
      </w:r>
      <w:r>
        <w:t xml:space="preserve"> is varied by</w:t>
      </w:r>
    </w:p>
    <w:p w14:paraId="79428B95" w14:textId="77777777" w:rsidR="0002640D" w:rsidRDefault="0002640D" w:rsidP="0002640D">
      <w:pPr>
        <w:pStyle w:val="FSCDraftingitem"/>
      </w:pPr>
      <w:r>
        <w:t>[3.1]</w:t>
      </w:r>
      <w:r>
        <w:tab/>
        <w:t xml:space="preserve">inserting after Note 2 to </w:t>
      </w:r>
      <w:r w:rsidRPr="003176A6">
        <w:t>the Standard</w:t>
      </w:r>
    </w:p>
    <w:p w14:paraId="08F1C087" w14:textId="77777777" w:rsidR="0002640D" w:rsidRDefault="0002640D" w:rsidP="0002640D">
      <w:pPr>
        <w:pStyle w:val="FSCh4Div"/>
      </w:pPr>
      <w:r>
        <w:t>Division 1</w:t>
      </w:r>
      <w:r>
        <w:tab/>
        <w:t>Preliminary</w:t>
      </w:r>
    </w:p>
    <w:p w14:paraId="3D73B603" w14:textId="77777777" w:rsidR="0002640D" w:rsidRDefault="0002640D" w:rsidP="0002640D">
      <w:pPr>
        <w:pStyle w:val="FSCDraftingitem"/>
      </w:pPr>
      <w:r>
        <w:t>[3.2]</w:t>
      </w:r>
      <w:r>
        <w:tab/>
        <w:t>omitting section 2.6.2—2, substituting</w:t>
      </w:r>
    </w:p>
    <w:p w14:paraId="1B1A690F" w14:textId="77777777" w:rsidR="0002640D" w:rsidRPr="00D81385" w:rsidRDefault="0002640D" w:rsidP="0002640D">
      <w:pPr>
        <w:keepNext/>
        <w:spacing w:before="240" w:after="120"/>
        <w:ind w:left="1701" w:hanging="1701"/>
        <w:outlineLvl w:val="4"/>
        <w:rPr>
          <w:b/>
          <w:bCs/>
          <w:kern w:val="32"/>
          <w:lang w:eastAsia="en-GB"/>
        </w:rPr>
      </w:pPr>
      <w:bookmarkStart w:id="245" w:name="_Toc400032201"/>
      <w:bookmarkStart w:id="246" w:name="_Toc371505585"/>
      <w:r w:rsidRPr="00D81385">
        <w:rPr>
          <w:b/>
          <w:bCs/>
          <w:kern w:val="32"/>
          <w:lang w:eastAsia="en-GB"/>
        </w:rPr>
        <w:t>2.6.2—2</w:t>
      </w:r>
      <w:r w:rsidRPr="00D81385">
        <w:rPr>
          <w:b/>
          <w:bCs/>
          <w:kern w:val="32"/>
          <w:lang w:eastAsia="en-GB"/>
        </w:rPr>
        <w:tab/>
        <w:t>Definitions</w:t>
      </w:r>
      <w:bookmarkEnd w:id="245"/>
      <w:bookmarkEnd w:id="246"/>
    </w:p>
    <w:p w14:paraId="5F3D215D" w14:textId="77777777" w:rsidR="0002640D" w:rsidRPr="00D81385" w:rsidRDefault="0002640D" w:rsidP="0002640D">
      <w:pPr>
        <w:pStyle w:val="FSCnMain"/>
        <w:tabs>
          <w:tab w:val="clear" w:pos="1701"/>
          <w:tab w:val="left" w:pos="851"/>
        </w:tabs>
      </w:pPr>
      <w:r w:rsidRPr="00D81385">
        <w:rPr>
          <w:b/>
          <w:i/>
        </w:rPr>
        <w:t>Note</w:t>
      </w:r>
      <w:r>
        <w:rPr>
          <w:b/>
          <w:i/>
        </w:rPr>
        <w:t xml:space="preserve"> 1</w:t>
      </w:r>
      <w:r w:rsidRPr="00D81385">
        <w:tab/>
        <w:t>In this Code (see section 1.1.2—</w:t>
      </w:r>
      <w:r>
        <w:t>2</w:t>
      </w:r>
      <w:r w:rsidRPr="00D81385">
        <w:t>):</w:t>
      </w:r>
    </w:p>
    <w:p w14:paraId="4735E079" w14:textId="77777777" w:rsidR="0002640D" w:rsidRDefault="0002640D" w:rsidP="0002640D">
      <w:pPr>
        <w:pStyle w:val="FSCnMain"/>
        <w:ind w:left="1701" w:hanging="1701"/>
      </w:pPr>
      <w:r>
        <w:rPr>
          <w:b/>
          <w:i/>
        </w:rPr>
        <w:tab/>
      </w:r>
      <w:r w:rsidRPr="008954D3">
        <w:rPr>
          <w:b/>
          <w:i/>
        </w:rPr>
        <w:t>average quantity</w:t>
      </w:r>
      <w:r w:rsidRPr="008954D3">
        <w:t>,</w:t>
      </w:r>
      <w:r w:rsidRPr="00043854">
        <w:rPr>
          <w:i/>
        </w:rPr>
        <w:t xml:space="preserve"> </w:t>
      </w:r>
      <w:r w:rsidRPr="00043854">
        <w:t>of a substance in a food, means the average, for such foods from that producer or manufacturer, of:</w:t>
      </w:r>
    </w:p>
    <w:p w14:paraId="78F16D2D" w14:textId="77777777" w:rsidR="0002640D" w:rsidRDefault="0002640D" w:rsidP="0002640D">
      <w:pPr>
        <w:pStyle w:val="FSCnMain"/>
        <w:tabs>
          <w:tab w:val="clear" w:pos="1701"/>
          <w:tab w:val="left" w:pos="1985"/>
        </w:tabs>
        <w:ind w:left="1985" w:hanging="284"/>
      </w:pPr>
      <w:r>
        <w:t>(a)</w:t>
      </w:r>
      <w:r>
        <w:tab/>
        <w:t>where a serving or reference amount is specified—the amount of the substance that such a serving or reference amount contains; or</w:t>
      </w:r>
    </w:p>
    <w:p w14:paraId="60F654C7" w14:textId="77777777" w:rsidR="0002640D" w:rsidRDefault="0002640D" w:rsidP="0002640D">
      <w:pPr>
        <w:pStyle w:val="FSCnMain"/>
        <w:tabs>
          <w:tab w:val="clear" w:pos="1701"/>
          <w:tab w:val="left" w:pos="1985"/>
          <w:tab w:val="left" w:pos="2268"/>
        </w:tabs>
        <w:ind w:left="3402" w:hanging="1701"/>
      </w:pPr>
      <w:r>
        <w:t>(b)</w:t>
      </w:r>
      <w:r>
        <w:tab/>
        <w:t>otherwise—the proportion of that substance in the food, expressed as a percentage.</w:t>
      </w:r>
    </w:p>
    <w:p w14:paraId="651F32D4" w14:textId="77777777" w:rsidR="0002640D" w:rsidRPr="00043854" w:rsidRDefault="0002640D" w:rsidP="0002640D">
      <w:pPr>
        <w:pStyle w:val="FSCnMain"/>
        <w:tabs>
          <w:tab w:val="clear" w:pos="1701"/>
          <w:tab w:val="left" w:pos="2268"/>
        </w:tabs>
        <w:ind w:hanging="1701"/>
      </w:pPr>
      <w:r>
        <w:tab/>
      </w:r>
      <w:r w:rsidRPr="00D37D28">
        <w:rPr>
          <w:b/>
          <w:i/>
        </w:rPr>
        <w:t>Note</w:t>
      </w:r>
      <w:r>
        <w:t xml:space="preserve"> See also section 1.1.1—6.</w:t>
      </w:r>
    </w:p>
    <w:p w14:paraId="78EDD55D" w14:textId="77777777" w:rsidR="0002640D" w:rsidRPr="004F39FB" w:rsidRDefault="0002640D" w:rsidP="0002640D">
      <w:pPr>
        <w:pStyle w:val="FSCnMain"/>
        <w:ind w:left="1701" w:hanging="1701"/>
        <w:rPr>
          <w:b/>
          <w:i/>
        </w:rPr>
      </w:pPr>
      <w:r>
        <w:rPr>
          <w:b/>
          <w:i/>
        </w:rPr>
        <w:tab/>
      </w:r>
      <w:r w:rsidRPr="004F39FB">
        <w:rPr>
          <w:b/>
          <w:i/>
        </w:rPr>
        <w:t xml:space="preserve">claim </w:t>
      </w:r>
      <w:r w:rsidRPr="004F39FB">
        <w:t>means an express or implied statement, representation, design or information in relation to a food or a property of food which is not mandatory in this Code.</w:t>
      </w:r>
      <w:r w:rsidRPr="004F39FB">
        <w:rPr>
          <w:b/>
          <w:i/>
        </w:rPr>
        <w:t xml:space="preserve"> </w:t>
      </w:r>
    </w:p>
    <w:p w14:paraId="571F55A2" w14:textId="77777777" w:rsidR="0002640D" w:rsidRPr="00210099" w:rsidRDefault="0002640D" w:rsidP="0002640D">
      <w:pPr>
        <w:pStyle w:val="FSCnMain"/>
        <w:ind w:left="1701"/>
        <w:rPr>
          <w:b/>
          <w:i/>
        </w:rPr>
      </w:pPr>
      <w:r>
        <w:tab/>
      </w:r>
      <w:r>
        <w:rPr>
          <w:b/>
          <w:i/>
        </w:rPr>
        <w:tab/>
      </w:r>
      <w:r w:rsidRPr="00210099">
        <w:rPr>
          <w:b/>
          <w:bCs/>
          <w:i/>
          <w:iCs/>
        </w:rPr>
        <w:t>claim requiring nutrition information</w:t>
      </w:r>
      <w:r w:rsidRPr="00210099">
        <w:rPr>
          <w:b/>
          <w:i/>
        </w:rPr>
        <w:t xml:space="preserve">: </w:t>
      </w:r>
    </w:p>
    <w:p w14:paraId="682503A3" w14:textId="77777777" w:rsidR="0002640D" w:rsidRPr="00210099" w:rsidRDefault="0002640D" w:rsidP="0002640D">
      <w:pPr>
        <w:pStyle w:val="FSCnMain"/>
        <w:ind w:left="3969"/>
      </w:pPr>
      <w:r w:rsidRPr="00210099">
        <w:t xml:space="preserve">(a) means: </w:t>
      </w:r>
    </w:p>
    <w:p w14:paraId="6F09719C" w14:textId="77777777" w:rsidR="0002640D" w:rsidRPr="00210099" w:rsidRDefault="0002640D" w:rsidP="0002640D">
      <w:pPr>
        <w:pStyle w:val="FSCnMain"/>
        <w:ind w:left="3969" w:hanging="1984"/>
      </w:pPr>
      <w:r w:rsidRPr="00210099">
        <w:t xml:space="preserve">(i) a nutrition content claim; or </w:t>
      </w:r>
    </w:p>
    <w:p w14:paraId="58584F01" w14:textId="77777777" w:rsidR="0002640D" w:rsidRPr="00210099" w:rsidRDefault="0002640D" w:rsidP="0002640D">
      <w:pPr>
        <w:pStyle w:val="FSCnMain"/>
        <w:ind w:left="3969" w:hanging="1984"/>
      </w:pPr>
      <w:r w:rsidRPr="00210099">
        <w:t xml:space="preserve">(ii) a health claim; and </w:t>
      </w:r>
    </w:p>
    <w:p w14:paraId="4EDBB167" w14:textId="77777777" w:rsidR="0002640D" w:rsidRPr="00210099" w:rsidRDefault="0002640D" w:rsidP="0002640D">
      <w:pPr>
        <w:pStyle w:val="FSCnMain"/>
        <w:ind w:left="3969"/>
      </w:pPr>
      <w:r w:rsidRPr="00210099">
        <w:t xml:space="preserve">(b) does not include: </w:t>
      </w:r>
    </w:p>
    <w:p w14:paraId="5D31A6AA" w14:textId="77777777" w:rsidR="0002640D" w:rsidRPr="00210099" w:rsidRDefault="0002640D" w:rsidP="0002640D">
      <w:pPr>
        <w:pStyle w:val="FSCnMain"/>
        <w:ind w:left="3969" w:hanging="1984"/>
      </w:pPr>
      <w:r w:rsidRPr="00210099">
        <w:t xml:space="preserve">(i) a declaration that is required by an application Act; or </w:t>
      </w:r>
    </w:p>
    <w:p w14:paraId="54D3B753" w14:textId="77777777" w:rsidR="0002640D" w:rsidRPr="00210099" w:rsidRDefault="0002640D" w:rsidP="0002640D">
      <w:pPr>
        <w:pStyle w:val="FSCnMain"/>
        <w:ind w:left="3969" w:hanging="1984"/>
      </w:pPr>
      <w:r w:rsidRPr="00210099">
        <w:t xml:space="preserve">(ii) an endorsement; or </w:t>
      </w:r>
    </w:p>
    <w:p w14:paraId="592CD6C0" w14:textId="77777777" w:rsidR="0002640D" w:rsidRPr="00210099" w:rsidRDefault="0002640D" w:rsidP="0002640D">
      <w:pPr>
        <w:pStyle w:val="FSCnMain"/>
        <w:ind w:left="3969" w:hanging="1984"/>
        <w:rPr>
          <w:i/>
        </w:rPr>
      </w:pPr>
      <w:r w:rsidRPr="00210099">
        <w:t>(iii) a *prescribed beverage gluten free claim.</w:t>
      </w:r>
    </w:p>
    <w:p w14:paraId="2837574C" w14:textId="77777777" w:rsidR="0002640D" w:rsidRPr="00001F54" w:rsidRDefault="0002640D" w:rsidP="0002640D">
      <w:pPr>
        <w:pStyle w:val="FSCnMain"/>
        <w:ind w:left="1701"/>
      </w:pPr>
      <w:r>
        <w:rPr>
          <w:b/>
          <w:i/>
        </w:rPr>
        <w:lastRenderedPageBreak/>
        <w:tab/>
      </w:r>
      <w:r w:rsidRPr="00001F54">
        <w:rPr>
          <w:b/>
          <w:i/>
        </w:rPr>
        <w:t xml:space="preserve">health claim </w:t>
      </w:r>
      <w:r w:rsidRPr="00001F54">
        <w:t xml:space="preserve">means a claim which states, suggests or implies that a food or a property of food has, or may have, a health effect. </w:t>
      </w:r>
    </w:p>
    <w:p w14:paraId="6E1CC663" w14:textId="77777777" w:rsidR="0002640D" w:rsidRDefault="0002640D" w:rsidP="0002640D">
      <w:pPr>
        <w:pStyle w:val="FSCnPara"/>
      </w:pPr>
      <w:r w:rsidRPr="00001F54">
        <w:tab/>
      </w:r>
      <w:r w:rsidRPr="00FB5FC8">
        <w:rPr>
          <w:b/>
          <w:i/>
        </w:rPr>
        <w:t>Note</w:t>
      </w:r>
      <w:r w:rsidRPr="00001F54">
        <w:t xml:space="preserve"> See also subsection 2.10.2—8(3).</w:t>
      </w:r>
    </w:p>
    <w:p w14:paraId="60F3C49D" w14:textId="77777777" w:rsidR="0002640D" w:rsidRDefault="0002640D" w:rsidP="0002640D">
      <w:pPr>
        <w:pStyle w:val="FSCnMain"/>
        <w:tabs>
          <w:tab w:val="clear" w:pos="1701"/>
          <w:tab w:val="left" w:pos="851"/>
        </w:tabs>
        <w:ind w:hanging="566"/>
      </w:pPr>
      <w:r w:rsidRPr="00C76EFB">
        <w:rPr>
          <w:b/>
          <w:i/>
        </w:rPr>
        <w:t>nutrition content claim</w:t>
      </w:r>
      <w:r w:rsidRPr="00C76EFB">
        <w:t>—see section 1.1.2—9.</w:t>
      </w:r>
    </w:p>
    <w:p w14:paraId="02CAB699" w14:textId="77777777" w:rsidR="0002640D" w:rsidRPr="00B573FB" w:rsidRDefault="0002640D" w:rsidP="0002640D">
      <w:pPr>
        <w:pStyle w:val="FSCnMain"/>
        <w:ind w:hanging="566"/>
        <w:rPr>
          <w:b/>
          <w:i/>
        </w:rPr>
      </w:pPr>
      <w:r w:rsidRPr="00B573FB">
        <w:rPr>
          <w:b/>
          <w:i/>
        </w:rPr>
        <w:t>package:</w:t>
      </w:r>
    </w:p>
    <w:p w14:paraId="35CBACDA" w14:textId="77777777" w:rsidR="0002640D" w:rsidRPr="0064695E" w:rsidRDefault="0002640D" w:rsidP="0002640D">
      <w:pPr>
        <w:pStyle w:val="FSCnMain"/>
        <w:ind w:left="1985" w:hanging="708"/>
      </w:pPr>
      <w:r>
        <w:tab/>
      </w:r>
      <w:r w:rsidRPr="0064695E">
        <w:t>(a) means any container or wrapper in or by which food for sale is wholly or partly encased, covered, enclosed, contained or packaged; and</w:t>
      </w:r>
    </w:p>
    <w:p w14:paraId="61B2F38C" w14:textId="77777777" w:rsidR="0002640D" w:rsidRPr="0064695E" w:rsidRDefault="0002640D" w:rsidP="0002640D">
      <w:pPr>
        <w:pStyle w:val="FSCnMain"/>
        <w:ind w:left="1985" w:hanging="708"/>
      </w:pPr>
      <w:r>
        <w:tab/>
      </w:r>
      <w:r w:rsidRPr="0064695E">
        <w:t>(b) if food is carried or sold or intended to be carried and sold in more than one package—includes each package; and</w:t>
      </w:r>
    </w:p>
    <w:p w14:paraId="2936363A" w14:textId="77777777" w:rsidR="0002640D" w:rsidRPr="0064695E" w:rsidRDefault="0002640D" w:rsidP="0002640D">
      <w:pPr>
        <w:pStyle w:val="FSCnMain"/>
        <w:ind w:hanging="566"/>
      </w:pPr>
      <w:r w:rsidRPr="0064695E">
        <w:t>(c) does not include:</w:t>
      </w:r>
    </w:p>
    <w:p w14:paraId="1FCB05EC" w14:textId="77777777" w:rsidR="0002640D" w:rsidRPr="0064695E" w:rsidRDefault="0002640D" w:rsidP="0002640D">
      <w:pPr>
        <w:pStyle w:val="FSCnMain"/>
        <w:ind w:hanging="283"/>
      </w:pPr>
      <w:r w:rsidRPr="0064695E">
        <w:t>(i) a *bulk cargo container; or</w:t>
      </w:r>
    </w:p>
    <w:p w14:paraId="4AAEE0B6" w14:textId="77777777" w:rsidR="0002640D" w:rsidRPr="0064695E" w:rsidRDefault="0002640D" w:rsidP="0002640D">
      <w:pPr>
        <w:pStyle w:val="FSCnMain"/>
        <w:ind w:hanging="283"/>
      </w:pPr>
      <w:r w:rsidRPr="0064695E">
        <w:t>(ii) a pallet overwrap; or</w:t>
      </w:r>
    </w:p>
    <w:p w14:paraId="31EF85E0" w14:textId="77777777" w:rsidR="0002640D" w:rsidRPr="0064695E" w:rsidRDefault="0002640D" w:rsidP="0002640D">
      <w:pPr>
        <w:pStyle w:val="FSCnMain"/>
        <w:ind w:hanging="283"/>
      </w:pPr>
      <w:r w:rsidRPr="0064695E">
        <w:t>(iii) a crate and packages which do not obscure labels on the food; or</w:t>
      </w:r>
    </w:p>
    <w:p w14:paraId="4CEFC175" w14:textId="77777777" w:rsidR="0002640D" w:rsidRPr="0064695E" w:rsidRDefault="0002640D" w:rsidP="0002640D">
      <w:pPr>
        <w:pStyle w:val="FSCnMain"/>
        <w:ind w:hanging="283"/>
      </w:pPr>
      <w:r w:rsidRPr="0064695E">
        <w:t>(iv) a transportation vehicle; or</w:t>
      </w:r>
    </w:p>
    <w:p w14:paraId="24DD929A" w14:textId="77777777" w:rsidR="0002640D" w:rsidRPr="0064695E" w:rsidRDefault="0002640D" w:rsidP="0002640D">
      <w:pPr>
        <w:pStyle w:val="FSCnMain"/>
        <w:ind w:hanging="283"/>
      </w:pPr>
      <w:r w:rsidRPr="0064695E">
        <w:t>(v) a vending machine; or</w:t>
      </w:r>
    </w:p>
    <w:p w14:paraId="634DE367" w14:textId="77777777" w:rsidR="0002640D" w:rsidRPr="0064695E" w:rsidRDefault="0002640D" w:rsidP="0002640D">
      <w:pPr>
        <w:pStyle w:val="FSCnMain"/>
        <w:ind w:hanging="283"/>
      </w:pPr>
      <w:r w:rsidRPr="0064695E">
        <w:t>(vi) a hamper; or</w:t>
      </w:r>
    </w:p>
    <w:p w14:paraId="3E19CEDE" w14:textId="77777777" w:rsidR="0002640D" w:rsidRPr="0064695E" w:rsidRDefault="0002640D" w:rsidP="0002640D">
      <w:pPr>
        <w:pStyle w:val="FSCnMain"/>
        <w:ind w:left="1985" w:firstLine="0"/>
      </w:pPr>
      <w:r w:rsidRPr="0064695E">
        <w:t>(vii) a container or wrapper (including a covered plate, cup, tray or other food container) in which food is served in a prison, hospital or *medical institution; or</w:t>
      </w:r>
    </w:p>
    <w:p w14:paraId="7F21FC6D" w14:textId="77777777" w:rsidR="0002640D" w:rsidRPr="0064695E" w:rsidRDefault="0002640D" w:rsidP="0002640D">
      <w:pPr>
        <w:pStyle w:val="FSCnMain"/>
        <w:tabs>
          <w:tab w:val="clear" w:pos="1701"/>
          <w:tab w:val="left" w:pos="851"/>
        </w:tabs>
        <w:ind w:left="1985" w:firstLine="0"/>
      </w:pPr>
      <w:r w:rsidRPr="0064695E">
        <w:t>(viii) for Standard 2.9.5—a covered plate, cup, tray or other food container in which food for special medical purposes is served by a *responsible institution to a patient or resident.</w:t>
      </w:r>
    </w:p>
    <w:p w14:paraId="55DDE35F" w14:textId="77777777" w:rsidR="0002640D" w:rsidRPr="001E7FAE" w:rsidRDefault="0002640D" w:rsidP="0002640D">
      <w:pPr>
        <w:pStyle w:val="Default"/>
        <w:ind w:left="1702"/>
        <w:rPr>
          <w:rFonts w:ascii="Arial" w:hAnsi="Arial" w:cs="Arial"/>
          <w:color w:val="auto"/>
          <w:sz w:val="16"/>
          <w:szCs w:val="18"/>
          <w:lang w:eastAsia="en-AU"/>
        </w:rPr>
      </w:pPr>
      <w:r w:rsidRPr="001E7FAE">
        <w:rPr>
          <w:rFonts w:ascii="Arial" w:hAnsi="Arial" w:cs="Arial"/>
          <w:b/>
          <w:i/>
          <w:color w:val="auto"/>
          <w:sz w:val="16"/>
          <w:szCs w:val="18"/>
          <w:lang w:eastAsia="en-AU"/>
        </w:rPr>
        <w:t>prescribed name</w:t>
      </w:r>
      <w:r w:rsidRPr="001E7FAE">
        <w:rPr>
          <w:rFonts w:ascii="Arial" w:hAnsi="Arial" w:cs="Arial"/>
          <w:color w:val="auto"/>
          <w:sz w:val="16"/>
          <w:szCs w:val="18"/>
          <w:lang w:eastAsia="en-AU"/>
        </w:rPr>
        <w:t xml:space="preserve">, of a particular food, means a name declared by a provision of this Code to be the prescribed name of the food. </w:t>
      </w:r>
    </w:p>
    <w:p w14:paraId="3C68A46E" w14:textId="77777777" w:rsidR="0002640D" w:rsidRDefault="0002640D" w:rsidP="0002640D">
      <w:pPr>
        <w:pStyle w:val="FSCnMain"/>
        <w:ind w:hanging="566"/>
        <w:rPr>
          <w:b/>
          <w:i/>
        </w:rPr>
      </w:pPr>
      <w:r>
        <w:rPr>
          <w:b/>
          <w:bCs/>
          <w:i/>
          <w:iCs/>
          <w:color w:val="000000"/>
          <w:szCs w:val="16"/>
          <w:lang w:eastAsia="en-GB"/>
        </w:rPr>
        <w:tab/>
      </w:r>
      <w:r w:rsidRPr="008B0932">
        <w:rPr>
          <w:b/>
          <w:bCs/>
          <w:i/>
          <w:iCs/>
          <w:color w:val="000000"/>
          <w:szCs w:val="16"/>
          <w:lang w:eastAsia="en-GB"/>
        </w:rPr>
        <w:t xml:space="preserve">Note </w:t>
      </w:r>
      <w:r w:rsidRPr="008B0932">
        <w:rPr>
          <w:color w:val="000000"/>
          <w:szCs w:val="16"/>
          <w:lang w:eastAsia="en-GB"/>
        </w:rPr>
        <w:t>Under the labelling provisions in Standard 1.2.1 and section 1.2.2—2, if a food has a prescribed name, it must be used in the labelling of the food.</w:t>
      </w:r>
    </w:p>
    <w:p w14:paraId="1578DF8A" w14:textId="77777777" w:rsidR="0002640D" w:rsidRDefault="0002640D" w:rsidP="0002640D">
      <w:pPr>
        <w:pStyle w:val="FSCnMain"/>
        <w:ind w:hanging="566"/>
        <w:rPr>
          <w:b/>
          <w:i/>
        </w:rPr>
      </w:pPr>
      <w:r w:rsidRPr="001630A8">
        <w:rPr>
          <w:b/>
          <w:i/>
        </w:rPr>
        <w:t>property of food</w:t>
      </w:r>
      <w:r w:rsidRPr="001630A8">
        <w:t xml:space="preserve"> means a *component, ingredient, constituent or other feature of food.</w:t>
      </w:r>
    </w:p>
    <w:p w14:paraId="592460DC" w14:textId="77777777" w:rsidR="0002640D" w:rsidRDefault="0002640D" w:rsidP="0002640D">
      <w:pPr>
        <w:pStyle w:val="FSCnMain"/>
        <w:ind w:hanging="566"/>
        <w:rPr>
          <w:b/>
          <w:i/>
        </w:rPr>
      </w:pPr>
      <w:r w:rsidRPr="004A6F4B">
        <w:rPr>
          <w:b/>
          <w:i/>
        </w:rPr>
        <w:t xml:space="preserve">small package </w:t>
      </w:r>
      <w:r w:rsidRPr="004A6F4B">
        <w:t>means a package with a surface area of less than 100 cm2.</w:t>
      </w:r>
    </w:p>
    <w:p w14:paraId="63A4CCCF" w14:textId="77777777" w:rsidR="0002640D" w:rsidRDefault="0002640D" w:rsidP="0002640D">
      <w:pPr>
        <w:pStyle w:val="FSCnMain"/>
        <w:ind w:hanging="566"/>
      </w:pPr>
      <w:r w:rsidRPr="00E62D32">
        <w:rPr>
          <w:b/>
          <w:i/>
        </w:rPr>
        <w:t>sugars</w:t>
      </w:r>
      <w:r>
        <w:t>:</w:t>
      </w:r>
    </w:p>
    <w:p w14:paraId="445208D3" w14:textId="77777777" w:rsidR="0002640D" w:rsidRDefault="0002640D" w:rsidP="0002640D">
      <w:pPr>
        <w:pStyle w:val="FSCnMain"/>
        <w:ind w:hanging="566"/>
      </w:pPr>
      <w:r>
        <w:t>(a) in Standard 1.2.7, Standard 1.2.8 and Schedule 4 (except where it appears with an asterisk as ‘sugars*’)—means monosaccharides and disaccharides; and</w:t>
      </w:r>
    </w:p>
    <w:p w14:paraId="1A296883" w14:textId="77777777" w:rsidR="0002640D" w:rsidRDefault="0002640D" w:rsidP="0002640D">
      <w:pPr>
        <w:pStyle w:val="FSCnMain"/>
        <w:ind w:hanging="566"/>
      </w:pPr>
      <w:r>
        <w:t>(b) otherwise—means any of the following products, derived from any source:</w:t>
      </w:r>
    </w:p>
    <w:p w14:paraId="419B259C" w14:textId="77777777" w:rsidR="0002640D" w:rsidRDefault="0002640D" w:rsidP="0002640D">
      <w:pPr>
        <w:pStyle w:val="FSCnMain"/>
        <w:ind w:left="2834" w:hanging="849"/>
      </w:pPr>
      <w:r>
        <w:t>(i) hexose monosaccharides and disaccharides, including dextrose, fructose, sucrose and lactose;</w:t>
      </w:r>
    </w:p>
    <w:p w14:paraId="77FE981A" w14:textId="77777777" w:rsidR="0002640D" w:rsidRDefault="0002640D" w:rsidP="0002640D">
      <w:pPr>
        <w:pStyle w:val="FSCnMain"/>
        <w:ind w:left="2834" w:hanging="849"/>
      </w:pPr>
      <w:r>
        <w:t>(ii) starch hydrolysate;</w:t>
      </w:r>
    </w:p>
    <w:p w14:paraId="7D1E13C1" w14:textId="77777777" w:rsidR="0002640D" w:rsidRDefault="0002640D" w:rsidP="0002640D">
      <w:pPr>
        <w:pStyle w:val="FSCnMain"/>
        <w:ind w:left="2834" w:hanging="849"/>
      </w:pPr>
      <w:r>
        <w:t>(iii) glucose syrups, maltodextrin and similar products;</w:t>
      </w:r>
    </w:p>
    <w:p w14:paraId="05E8CC20" w14:textId="77777777" w:rsidR="0002640D" w:rsidRDefault="0002640D" w:rsidP="0002640D">
      <w:pPr>
        <w:pStyle w:val="FSCnMain"/>
        <w:ind w:left="2834" w:hanging="849"/>
      </w:pPr>
      <w:r>
        <w:t>(iv) products derived at a sugar refinery, including brown sugar and molasses;</w:t>
      </w:r>
    </w:p>
    <w:p w14:paraId="4EEBA896" w14:textId="77777777" w:rsidR="0002640D" w:rsidRDefault="0002640D" w:rsidP="0002640D">
      <w:pPr>
        <w:pStyle w:val="FSCnMain"/>
        <w:ind w:left="2834" w:hanging="849"/>
      </w:pPr>
      <w:r>
        <w:t>(v) icing sugar;</w:t>
      </w:r>
    </w:p>
    <w:p w14:paraId="41AF6ED7" w14:textId="77777777" w:rsidR="0002640D" w:rsidRDefault="0002640D" w:rsidP="0002640D">
      <w:pPr>
        <w:pStyle w:val="FSCnMain"/>
        <w:ind w:left="2834" w:hanging="849"/>
      </w:pPr>
      <w:r>
        <w:t>(vi) invert sugar;</w:t>
      </w:r>
    </w:p>
    <w:p w14:paraId="023BFA9D" w14:textId="77777777" w:rsidR="0002640D" w:rsidRDefault="0002640D" w:rsidP="0002640D">
      <w:pPr>
        <w:pStyle w:val="FSCnMain"/>
        <w:ind w:left="2834" w:hanging="849"/>
      </w:pPr>
      <w:r>
        <w:t>(vii) fruit sugar syrup;</w:t>
      </w:r>
    </w:p>
    <w:p w14:paraId="5209F79B" w14:textId="77777777" w:rsidR="0002640D" w:rsidRDefault="0002640D" w:rsidP="0002640D">
      <w:pPr>
        <w:pStyle w:val="FSCnMain"/>
        <w:ind w:hanging="566"/>
      </w:pPr>
      <w:r>
        <w:t>but does not include:</w:t>
      </w:r>
    </w:p>
    <w:p w14:paraId="636CD358" w14:textId="77777777" w:rsidR="0002640D" w:rsidRDefault="0002640D" w:rsidP="0002640D">
      <w:pPr>
        <w:pStyle w:val="FSCnMain"/>
        <w:ind w:hanging="283"/>
      </w:pPr>
      <w:r>
        <w:t>(i) malt or malt extracts; or</w:t>
      </w:r>
    </w:p>
    <w:p w14:paraId="60F4C63C" w14:textId="77777777" w:rsidR="0002640D" w:rsidRDefault="0002640D" w:rsidP="0002640D">
      <w:pPr>
        <w:pStyle w:val="FSCnMain"/>
        <w:ind w:hanging="283"/>
      </w:pPr>
      <w:r>
        <w:t>(ii) sorbitol, mannitol, glycerol, xylitol, polydextrose, isomalt, maltitol, maltitol syrup, erythritol or lactitol.</w:t>
      </w:r>
    </w:p>
    <w:p w14:paraId="2965E1E3" w14:textId="77777777" w:rsidR="0002640D" w:rsidRDefault="0002640D" w:rsidP="0002640D">
      <w:pPr>
        <w:pStyle w:val="FSCnPara"/>
      </w:pPr>
      <w:r>
        <w:tab/>
      </w:r>
      <w:r w:rsidRPr="00E1599B">
        <w:rPr>
          <w:b/>
          <w:i/>
        </w:rPr>
        <w:t>Note</w:t>
      </w:r>
      <w:r>
        <w:t xml:space="preserve"> Sugar is </w:t>
      </w:r>
      <w:r w:rsidRPr="00190B8B">
        <w:t>defined</w:t>
      </w:r>
      <w:r>
        <w:t xml:space="preserve"> differently—see section 1.1.2—3.</w:t>
      </w:r>
    </w:p>
    <w:p w14:paraId="44977F22" w14:textId="77777777" w:rsidR="0002640D" w:rsidRDefault="0002640D" w:rsidP="0002640D">
      <w:pPr>
        <w:pStyle w:val="FSCnMain"/>
        <w:ind w:hanging="566"/>
      </w:pPr>
      <w:r w:rsidRPr="00524A9E">
        <w:rPr>
          <w:b/>
          <w:i/>
        </w:rPr>
        <w:t>unit quantity</w:t>
      </w:r>
      <w:r>
        <w:t xml:space="preserve"> means:</w:t>
      </w:r>
    </w:p>
    <w:p w14:paraId="02F501A3" w14:textId="77777777" w:rsidR="0002640D" w:rsidRDefault="0002640D" w:rsidP="0002640D">
      <w:pPr>
        <w:pStyle w:val="FSCnMain"/>
        <w:ind w:hanging="566"/>
      </w:pPr>
      <w:r>
        <w:t>(a) for a food that is a solid or semi-solid food—100 grams; or</w:t>
      </w:r>
    </w:p>
    <w:p w14:paraId="0C4C8C3B" w14:textId="77777777" w:rsidR="0002640D" w:rsidRDefault="0002640D" w:rsidP="0002640D">
      <w:pPr>
        <w:pStyle w:val="FSCnMain"/>
        <w:tabs>
          <w:tab w:val="clear" w:pos="1701"/>
          <w:tab w:val="left" w:pos="851"/>
        </w:tabs>
        <w:ind w:hanging="566"/>
      </w:pPr>
      <w:r>
        <w:t>(b) for a food that is a beverage or other liquid food—100 millilitres.</w:t>
      </w:r>
    </w:p>
    <w:p w14:paraId="6FAC67E2" w14:textId="77777777" w:rsidR="0002640D" w:rsidRDefault="0002640D" w:rsidP="0002640D">
      <w:pPr>
        <w:pStyle w:val="FSCnMain"/>
        <w:tabs>
          <w:tab w:val="clear" w:pos="1701"/>
          <w:tab w:val="left" w:pos="851"/>
        </w:tabs>
        <w:rPr>
          <w:b/>
          <w:i/>
        </w:rPr>
      </w:pPr>
    </w:p>
    <w:p w14:paraId="441A3FA1" w14:textId="77777777" w:rsidR="0002640D" w:rsidRPr="00D81385" w:rsidRDefault="0002640D" w:rsidP="0002640D">
      <w:pPr>
        <w:pStyle w:val="FSCnMain"/>
        <w:tabs>
          <w:tab w:val="clear" w:pos="1701"/>
          <w:tab w:val="left" w:pos="851"/>
        </w:tabs>
      </w:pPr>
      <w:r w:rsidRPr="00D81385">
        <w:rPr>
          <w:b/>
          <w:i/>
        </w:rPr>
        <w:t>Note</w:t>
      </w:r>
      <w:r>
        <w:rPr>
          <w:b/>
          <w:i/>
        </w:rPr>
        <w:t xml:space="preserve"> 2</w:t>
      </w:r>
      <w:r w:rsidRPr="00D81385">
        <w:tab/>
        <w:t>In this Code (see section 1.1.2—3):</w:t>
      </w:r>
    </w:p>
    <w:p w14:paraId="3E07DBD4" w14:textId="77777777" w:rsidR="0002640D" w:rsidRPr="00D81385" w:rsidRDefault="0002640D" w:rsidP="0002640D">
      <w:pPr>
        <w:pStyle w:val="FSCnMain"/>
      </w:pPr>
      <w:r w:rsidRPr="00D81385">
        <w:rPr>
          <w:b/>
          <w:i/>
        </w:rPr>
        <w:tab/>
        <w:t>brewed soft drink</w:t>
      </w:r>
      <w:r w:rsidRPr="00D81385">
        <w:t xml:space="preserve"> means a food that:</w:t>
      </w:r>
    </w:p>
    <w:p w14:paraId="4E8933C6" w14:textId="77777777" w:rsidR="0002640D" w:rsidRPr="00D81385" w:rsidRDefault="0002640D" w:rsidP="0002640D">
      <w:pPr>
        <w:pStyle w:val="FSCnMain"/>
      </w:pPr>
      <w:r w:rsidRPr="00D81385">
        <w:tab/>
        <w:t>(a)</w:t>
      </w:r>
      <w:r w:rsidRPr="00D81385">
        <w:tab/>
        <w:t>is the product prepared by a fermentation process from water with sugar and one or more of:</w:t>
      </w:r>
    </w:p>
    <w:p w14:paraId="00941205" w14:textId="77777777" w:rsidR="0002640D" w:rsidRPr="00D81385" w:rsidRDefault="0002640D" w:rsidP="0002640D">
      <w:pPr>
        <w:pStyle w:val="FSCnMain"/>
        <w:tabs>
          <w:tab w:val="clear" w:pos="1701"/>
          <w:tab w:val="left" w:pos="2268"/>
        </w:tabs>
      </w:pPr>
      <w:r w:rsidRPr="00D81385">
        <w:tab/>
        <w:t>(i)</w:t>
      </w:r>
      <w:r w:rsidRPr="00D81385">
        <w:tab/>
        <w:t>fruit extractives or infusions; or</w:t>
      </w:r>
    </w:p>
    <w:p w14:paraId="4B83EA2F" w14:textId="77777777" w:rsidR="0002640D" w:rsidRPr="00D81385" w:rsidRDefault="0002640D" w:rsidP="0002640D">
      <w:pPr>
        <w:pStyle w:val="FSCnMain"/>
        <w:tabs>
          <w:tab w:val="clear" w:pos="1701"/>
          <w:tab w:val="left" w:pos="2268"/>
        </w:tabs>
      </w:pPr>
      <w:r w:rsidRPr="00D81385">
        <w:tab/>
        <w:t>(ii)</w:t>
      </w:r>
      <w:r w:rsidRPr="00D81385">
        <w:tab/>
        <w:t>vegetable extractives or infusions; and</w:t>
      </w:r>
    </w:p>
    <w:p w14:paraId="1EBBF8E6" w14:textId="77777777" w:rsidR="0002640D" w:rsidRPr="00D81385" w:rsidRDefault="0002640D" w:rsidP="0002640D">
      <w:pPr>
        <w:pStyle w:val="FSCnMain"/>
      </w:pPr>
      <w:r w:rsidRPr="00D81385">
        <w:tab/>
        <w:t>(b)</w:t>
      </w:r>
      <w:r w:rsidRPr="00D81385">
        <w:tab/>
        <w:t>contains no more than 1.15% alcohol by volume.</w:t>
      </w:r>
    </w:p>
    <w:p w14:paraId="2C485D1B" w14:textId="77777777" w:rsidR="0002640D" w:rsidRPr="00D81385" w:rsidRDefault="0002640D" w:rsidP="0002640D">
      <w:pPr>
        <w:pStyle w:val="FSCnMain"/>
        <w:ind w:left="1701" w:hanging="1701"/>
      </w:pPr>
      <w:r w:rsidRPr="00D81385">
        <w:rPr>
          <w:b/>
          <w:i/>
        </w:rPr>
        <w:tab/>
        <w:t xml:space="preserve">electrolyte drink </w:t>
      </w:r>
      <w:r w:rsidRPr="00D81385">
        <w:t>means a drink formulated for the rapid replacement of fluid and electrolytes during or after 60 minutes or more of strenuous physical activity.</w:t>
      </w:r>
    </w:p>
    <w:p w14:paraId="6F28AE92" w14:textId="77777777" w:rsidR="0002640D" w:rsidRPr="00D81385" w:rsidRDefault="0002640D" w:rsidP="0002640D">
      <w:pPr>
        <w:pStyle w:val="FSCnMain"/>
      </w:pPr>
      <w:r w:rsidRPr="00D81385">
        <w:rPr>
          <w:b/>
          <w:i/>
        </w:rPr>
        <w:tab/>
        <w:t>electrolyte drink base</w:t>
      </w:r>
      <w:r w:rsidRPr="00D81385">
        <w:t xml:space="preserve"> means a solid or liquid which, when made up, makes an electrolyte drink.</w:t>
      </w:r>
    </w:p>
    <w:p w14:paraId="06BE081C" w14:textId="77777777" w:rsidR="0002640D" w:rsidRPr="00D81385" w:rsidRDefault="0002640D" w:rsidP="0002640D">
      <w:pPr>
        <w:pStyle w:val="FSCnMain"/>
      </w:pPr>
      <w:r w:rsidRPr="00D81385">
        <w:tab/>
      </w:r>
      <w:r w:rsidRPr="00D81385">
        <w:rPr>
          <w:b/>
          <w:i/>
        </w:rPr>
        <w:t>formulated beverage</w:t>
      </w:r>
      <w:r w:rsidRPr="00D81385">
        <w:t xml:space="preserve"> means a non-carbonated, ready-to-drink, flavoured beverage that:</w:t>
      </w:r>
    </w:p>
    <w:p w14:paraId="4349D165" w14:textId="77777777" w:rsidR="0002640D" w:rsidRPr="00D81385" w:rsidRDefault="0002640D" w:rsidP="0002640D">
      <w:pPr>
        <w:pStyle w:val="FSCnMain"/>
      </w:pPr>
      <w:r w:rsidRPr="00D81385">
        <w:tab/>
        <w:t>(a)</w:t>
      </w:r>
      <w:r w:rsidRPr="00D81385">
        <w:tab/>
        <w:t>is water-based; and</w:t>
      </w:r>
    </w:p>
    <w:p w14:paraId="01F2E484" w14:textId="77777777" w:rsidR="0002640D" w:rsidRPr="00D81385" w:rsidRDefault="0002640D" w:rsidP="0002640D">
      <w:pPr>
        <w:pStyle w:val="FSCnMain"/>
      </w:pPr>
      <w:r w:rsidRPr="00D81385">
        <w:tab/>
        <w:t>(b)</w:t>
      </w:r>
      <w:r w:rsidRPr="00D81385">
        <w:tab/>
        <w:t>contains added vitamins or minerals or both vitamins and minerals; and</w:t>
      </w:r>
    </w:p>
    <w:p w14:paraId="5E3540BE" w14:textId="77777777" w:rsidR="0002640D" w:rsidRPr="00D81385" w:rsidRDefault="0002640D" w:rsidP="0002640D">
      <w:pPr>
        <w:pStyle w:val="FSCnMain"/>
      </w:pPr>
      <w:r w:rsidRPr="00D81385">
        <w:tab/>
        <w:t>(c)</w:t>
      </w:r>
      <w:r w:rsidRPr="00D81385">
        <w:tab/>
        <w:t>contains no more than 240 mL/L of fruit from one or more of the following sources:</w:t>
      </w:r>
    </w:p>
    <w:p w14:paraId="3C0199FC" w14:textId="77777777" w:rsidR="0002640D" w:rsidRPr="00D81385" w:rsidRDefault="0002640D" w:rsidP="0002640D">
      <w:pPr>
        <w:pStyle w:val="FSCnMain"/>
      </w:pPr>
      <w:r w:rsidRPr="00D81385">
        <w:tab/>
        <w:t>(i)</w:t>
      </w:r>
      <w:r w:rsidRPr="00D81385">
        <w:tab/>
        <w:t>fruit juice;</w:t>
      </w:r>
    </w:p>
    <w:p w14:paraId="247D24AD" w14:textId="77777777" w:rsidR="0002640D" w:rsidRPr="00D81385" w:rsidRDefault="0002640D" w:rsidP="0002640D">
      <w:pPr>
        <w:pStyle w:val="FSCnMain"/>
      </w:pPr>
      <w:r w:rsidRPr="00D81385">
        <w:lastRenderedPageBreak/>
        <w:tab/>
        <w:t>(ii)</w:t>
      </w:r>
      <w:r w:rsidRPr="00D81385">
        <w:tab/>
        <w:t>fruit purée;</w:t>
      </w:r>
    </w:p>
    <w:p w14:paraId="6FF4C94D" w14:textId="77777777" w:rsidR="0002640D" w:rsidRPr="00D81385" w:rsidRDefault="0002640D" w:rsidP="0002640D">
      <w:pPr>
        <w:pStyle w:val="FSCnMain"/>
      </w:pPr>
      <w:r w:rsidRPr="00D81385">
        <w:tab/>
        <w:t>(iii)</w:t>
      </w:r>
      <w:r w:rsidRPr="00D81385">
        <w:tab/>
        <w:t>concentrated fruit juice;</w:t>
      </w:r>
    </w:p>
    <w:p w14:paraId="1CDB819E" w14:textId="77777777" w:rsidR="0002640D" w:rsidRPr="00D81385" w:rsidRDefault="0002640D" w:rsidP="0002640D">
      <w:pPr>
        <w:pStyle w:val="FSCnMain"/>
      </w:pPr>
      <w:r w:rsidRPr="00D81385">
        <w:tab/>
        <w:t>(iv)</w:t>
      </w:r>
      <w:r w:rsidRPr="00D81385">
        <w:tab/>
        <w:t>concentrated fruit purée;</w:t>
      </w:r>
    </w:p>
    <w:p w14:paraId="2C083A94" w14:textId="77777777" w:rsidR="0002640D" w:rsidRPr="00D81385" w:rsidRDefault="0002640D" w:rsidP="0002640D">
      <w:pPr>
        <w:pStyle w:val="FSCnMain"/>
      </w:pPr>
      <w:r w:rsidRPr="00D81385">
        <w:tab/>
        <w:t>(v)</w:t>
      </w:r>
      <w:r w:rsidRPr="00D81385">
        <w:tab/>
        <w:t>comminuted fruit;</w:t>
      </w:r>
    </w:p>
    <w:p w14:paraId="52BC11BD" w14:textId="77777777" w:rsidR="0002640D" w:rsidRPr="00D81385" w:rsidRDefault="0002640D" w:rsidP="0002640D">
      <w:pPr>
        <w:pStyle w:val="FSCnMain"/>
      </w:pPr>
      <w:r w:rsidRPr="00D81385">
        <w:tab/>
        <w:t>(vi)</w:t>
      </w:r>
      <w:r w:rsidRPr="00D81385">
        <w:tab/>
        <w:t>orange peel extract; and</w:t>
      </w:r>
    </w:p>
    <w:p w14:paraId="14014E90" w14:textId="77777777" w:rsidR="0002640D" w:rsidRPr="00D81385" w:rsidRDefault="0002640D" w:rsidP="0002640D">
      <w:pPr>
        <w:pStyle w:val="FSCnMain"/>
      </w:pPr>
      <w:r w:rsidRPr="00D81385">
        <w:tab/>
        <w:t>(d)</w:t>
      </w:r>
      <w:r w:rsidRPr="00D81385">
        <w:tab/>
        <w:t>contains no more than 75 g/L of sugars; and</w:t>
      </w:r>
    </w:p>
    <w:p w14:paraId="112FA80E" w14:textId="77777777" w:rsidR="0002640D" w:rsidRPr="00D81385" w:rsidRDefault="0002640D" w:rsidP="0002640D">
      <w:pPr>
        <w:pStyle w:val="FSCnMain"/>
      </w:pPr>
      <w:r w:rsidRPr="00D81385">
        <w:tab/>
        <w:t>(e)</w:t>
      </w:r>
      <w:r w:rsidRPr="00D81385">
        <w:tab/>
        <w:t>does not contain:</w:t>
      </w:r>
    </w:p>
    <w:p w14:paraId="6C4EEE56" w14:textId="77777777" w:rsidR="0002640D" w:rsidRPr="00D81385" w:rsidRDefault="0002640D" w:rsidP="0002640D">
      <w:pPr>
        <w:pStyle w:val="FSCnMain"/>
      </w:pPr>
      <w:r w:rsidRPr="00D81385">
        <w:tab/>
        <w:t>(i)</w:t>
      </w:r>
      <w:r w:rsidRPr="00D81385">
        <w:tab/>
        <w:t>carbon dioxide; or</w:t>
      </w:r>
    </w:p>
    <w:p w14:paraId="2B1A3D7F" w14:textId="77777777" w:rsidR="0002640D" w:rsidRPr="00D81385" w:rsidRDefault="0002640D" w:rsidP="0002640D">
      <w:pPr>
        <w:pStyle w:val="FSCnMain"/>
      </w:pPr>
      <w:r w:rsidRPr="00D81385">
        <w:tab/>
        <w:t>(ii)</w:t>
      </w:r>
      <w:r w:rsidRPr="00D81385">
        <w:tab/>
        <w:t>caffeine; and</w:t>
      </w:r>
    </w:p>
    <w:p w14:paraId="28B60C7A" w14:textId="77777777" w:rsidR="0002640D" w:rsidRPr="00D81385" w:rsidRDefault="0002640D" w:rsidP="0002640D">
      <w:pPr>
        <w:pStyle w:val="FSCnMain"/>
      </w:pPr>
      <w:r w:rsidRPr="00D81385">
        <w:tab/>
        <w:t>(f)</w:t>
      </w:r>
      <w:r w:rsidRPr="00D81385">
        <w:tab/>
        <w:t>is not mixed with any other beverage.</w:t>
      </w:r>
    </w:p>
    <w:p w14:paraId="6B0967E7" w14:textId="77777777" w:rsidR="0002640D" w:rsidRPr="00D81385" w:rsidRDefault="0002640D" w:rsidP="0002640D">
      <w:pPr>
        <w:pStyle w:val="FSCnMain"/>
      </w:pPr>
      <w:r w:rsidRPr="00D81385">
        <w:rPr>
          <w:b/>
          <w:i/>
        </w:rPr>
        <w:tab/>
        <w:t>fruit drink</w:t>
      </w:r>
      <w:r w:rsidRPr="00D81385">
        <w:t xml:space="preserve"> means a product that is prepared from:</w:t>
      </w:r>
    </w:p>
    <w:p w14:paraId="62E402F9" w14:textId="77777777" w:rsidR="0002640D" w:rsidRPr="00D81385" w:rsidRDefault="0002640D" w:rsidP="0002640D">
      <w:pPr>
        <w:pStyle w:val="FSCnMain"/>
      </w:pPr>
      <w:r w:rsidRPr="00D81385">
        <w:tab/>
        <w:t>(a)</w:t>
      </w:r>
      <w:r w:rsidRPr="00D81385">
        <w:tab/>
        <w:t>one or more of the following:</w:t>
      </w:r>
    </w:p>
    <w:p w14:paraId="6053069D" w14:textId="77777777" w:rsidR="0002640D" w:rsidRPr="00D81385" w:rsidRDefault="0002640D" w:rsidP="0002640D">
      <w:pPr>
        <w:pStyle w:val="FSCnMain"/>
      </w:pPr>
      <w:r w:rsidRPr="00D81385">
        <w:tab/>
        <w:t>(i)</w:t>
      </w:r>
      <w:r w:rsidRPr="00D81385">
        <w:tab/>
        <w:t>fruit juice;</w:t>
      </w:r>
    </w:p>
    <w:p w14:paraId="6C318E0C" w14:textId="77777777" w:rsidR="0002640D" w:rsidRPr="00D81385" w:rsidRDefault="0002640D" w:rsidP="0002640D">
      <w:pPr>
        <w:pStyle w:val="FSCnMain"/>
      </w:pPr>
      <w:r w:rsidRPr="00D81385">
        <w:tab/>
        <w:t>(ii)</w:t>
      </w:r>
      <w:r w:rsidRPr="00D81385">
        <w:tab/>
        <w:t>fruit purée;</w:t>
      </w:r>
    </w:p>
    <w:p w14:paraId="44235A78" w14:textId="77777777" w:rsidR="0002640D" w:rsidRPr="00D81385" w:rsidRDefault="0002640D" w:rsidP="0002640D">
      <w:pPr>
        <w:pStyle w:val="FSCnMain"/>
      </w:pPr>
      <w:r w:rsidRPr="00D81385">
        <w:tab/>
        <w:t>(iii)</w:t>
      </w:r>
      <w:r w:rsidRPr="00D81385">
        <w:tab/>
        <w:t>concentrated fruit juice;</w:t>
      </w:r>
    </w:p>
    <w:p w14:paraId="1B528E07" w14:textId="77777777" w:rsidR="0002640D" w:rsidRPr="00D81385" w:rsidRDefault="0002640D" w:rsidP="0002640D">
      <w:pPr>
        <w:pStyle w:val="FSCnMain"/>
      </w:pPr>
      <w:r w:rsidRPr="00D81385">
        <w:tab/>
        <w:t>(iv)</w:t>
      </w:r>
      <w:r w:rsidRPr="00D81385">
        <w:tab/>
        <w:t>concentrated fruit purée;</w:t>
      </w:r>
    </w:p>
    <w:p w14:paraId="491F739D" w14:textId="77777777" w:rsidR="0002640D" w:rsidRPr="00D81385" w:rsidRDefault="0002640D" w:rsidP="0002640D">
      <w:pPr>
        <w:pStyle w:val="FSCnMain"/>
      </w:pPr>
      <w:r w:rsidRPr="00D81385">
        <w:tab/>
        <w:t>(v)</w:t>
      </w:r>
      <w:r w:rsidRPr="00D81385">
        <w:tab/>
        <w:t>comminuted fruit;</w:t>
      </w:r>
    </w:p>
    <w:p w14:paraId="56A33C67" w14:textId="77777777" w:rsidR="0002640D" w:rsidRPr="00D81385" w:rsidRDefault="0002640D" w:rsidP="0002640D">
      <w:pPr>
        <w:pStyle w:val="FSCnMain"/>
      </w:pPr>
      <w:r w:rsidRPr="00D81385">
        <w:tab/>
        <w:t>(vi)</w:t>
      </w:r>
      <w:r w:rsidRPr="00D81385">
        <w:tab/>
        <w:t>orange peel extract; and</w:t>
      </w:r>
    </w:p>
    <w:p w14:paraId="4F512A9C" w14:textId="77777777" w:rsidR="0002640D" w:rsidRPr="00D81385" w:rsidRDefault="0002640D" w:rsidP="0002640D">
      <w:pPr>
        <w:pStyle w:val="FSCnMain"/>
      </w:pPr>
      <w:r w:rsidRPr="00D81385">
        <w:tab/>
        <w:t>(b)</w:t>
      </w:r>
      <w:r w:rsidRPr="00D81385">
        <w:tab/>
        <w:t>one or more of the following:</w:t>
      </w:r>
    </w:p>
    <w:p w14:paraId="77DC91CA" w14:textId="77777777" w:rsidR="0002640D" w:rsidRPr="00D81385" w:rsidRDefault="0002640D" w:rsidP="0002640D">
      <w:pPr>
        <w:pStyle w:val="FSCnMain"/>
      </w:pPr>
      <w:r w:rsidRPr="00D81385">
        <w:tab/>
        <w:t>(i)</w:t>
      </w:r>
      <w:r w:rsidRPr="00D81385">
        <w:tab/>
        <w:t>water;</w:t>
      </w:r>
    </w:p>
    <w:p w14:paraId="63D1DA88" w14:textId="77777777" w:rsidR="0002640D" w:rsidRPr="00D81385" w:rsidRDefault="0002640D" w:rsidP="0002640D">
      <w:pPr>
        <w:pStyle w:val="FSCnMain"/>
      </w:pPr>
      <w:r w:rsidRPr="00D81385">
        <w:tab/>
        <w:t>(ii)</w:t>
      </w:r>
      <w:r w:rsidRPr="00D81385">
        <w:tab/>
        <w:t>mineralised water; and</w:t>
      </w:r>
    </w:p>
    <w:p w14:paraId="04B97FD5" w14:textId="77777777" w:rsidR="0002640D" w:rsidRPr="00D81385" w:rsidRDefault="0002640D" w:rsidP="0002640D">
      <w:pPr>
        <w:pStyle w:val="FSCnMain"/>
      </w:pPr>
      <w:r w:rsidRPr="00D81385">
        <w:tab/>
        <w:t>(iii)</w:t>
      </w:r>
      <w:r w:rsidRPr="00D81385">
        <w:tab/>
        <w:t>sugars.</w:t>
      </w:r>
    </w:p>
    <w:p w14:paraId="5B69BB7C" w14:textId="77777777" w:rsidR="0002640D" w:rsidRDefault="0002640D" w:rsidP="0002640D">
      <w:pPr>
        <w:pStyle w:val="FSCnMain"/>
        <w:ind w:left="1701"/>
      </w:pPr>
      <w:r w:rsidRPr="00D81385">
        <w:rPr>
          <w:b/>
          <w:i/>
        </w:rPr>
        <w:tab/>
        <w:t xml:space="preserve">mineral water </w:t>
      </w:r>
      <w:r w:rsidRPr="00D81385">
        <w:t>or</w:t>
      </w:r>
      <w:r w:rsidRPr="00D81385">
        <w:rPr>
          <w:b/>
          <w:i/>
        </w:rPr>
        <w:t xml:space="preserve"> spring water</w:t>
      </w:r>
      <w:r w:rsidRPr="00D81385">
        <w:t xml:space="preserve"> means ground water obtained from subterranean water-bearing strata that, in its natural state, contains soluble matter.</w:t>
      </w:r>
    </w:p>
    <w:p w14:paraId="024A6B3A" w14:textId="77777777" w:rsidR="0002640D" w:rsidRPr="00D81385" w:rsidRDefault="0002640D" w:rsidP="0002640D">
      <w:pPr>
        <w:pStyle w:val="FSCnMain"/>
      </w:pPr>
      <w:r w:rsidRPr="00D81385">
        <w:rPr>
          <w:b/>
          <w:i/>
        </w:rPr>
        <w:tab/>
        <w:t>non-alcoholic beverage</w:t>
      </w:r>
      <w:r w:rsidRPr="00D81385">
        <w:t>:</w:t>
      </w:r>
    </w:p>
    <w:p w14:paraId="7C00481D" w14:textId="77777777" w:rsidR="0002640D" w:rsidRPr="00D81385" w:rsidRDefault="0002640D" w:rsidP="0002640D">
      <w:pPr>
        <w:pStyle w:val="FSCnMain"/>
        <w:ind w:hanging="567"/>
      </w:pPr>
      <w:r w:rsidRPr="00D81385">
        <w:t>(a)</w:t>
      </w:r>
      <w:r w:rsidRPr="00D81385">
        <w:tab/>
        <w:t>means:</w:t>
      </w:r>
    </w:p>
    <w:p w14:paraId="31DB7BA5" w14:textId="77777777" w:rsidR="0002640D" w:rsidRPr="00D81385" w:rsidRDefault="0002640D" w:rsidP="0002640D">
      <w:pPr>
        <w:pStyle w:val="FSCnMain"/>
        <w:tabs>
          <w:tab w:val="clear" w:pos="1701"/>
          <w:tab w:val="left" w:pos="2268"/>
        </w:tabs>
      </w:pPr>
      <w:r w:rsidRPr="00D81385">
        <w:tab/>
        <w:t>(i)</w:t>
      </w:r>
      <w:r w:rsidRPr="00D81385">
        <w:tab/>
        <w:t>packaged water; or</w:t>
      </w:r>
    </w:p>
    <w:p w14:paraId="4C234421" w14:textId="77777777" w:rsidR="0002640D" w:rsidRPr="00D81385" w:rsidRDefault="0002640D" w:rsidP="0002640D">
      <w:pPr>
        <w:pStyle w:val="FSCnMain"/>
        <w:tabs>
          <w:tab w:val="clear" w:pos="1701"/>
        </w:tabs>
        <w:ind w:left="2550" w:hanging="282"/>
      </w:pPr>
      <w:r w:rsidRPr="00D81385">
        <w:t>(ii)</w:t>
      </w:r>
      <w:r w:rsidRPr="00D81385">
        <w:tab/>
        <w:t>a water-based beverage, or a water-based beverage that contains other foods (other than alcoholic beverages); or</w:t>
      </w:r>
    </w:p>
    <w:p w14:paraId="7FF981FF" w14:textId="77777777" w:rsidR="0002640D" w:rsidRPr="00D81385" w:rsidRDefault="0002640D" w:rsidP="0002640D">
      <w:pPr>
        <w:pStyle w:val="FSCnMain"/>
        <w:tabs>
          <w:tab w:val="clear" w:pos="1701"/>
          <w:tab w:val="left" w:pos="2268"/>
        </w:tabs>
      </w:pPr>
      <w:r w:rsidRPr="00D81385">
        <w:tab/>
        <w:t>(iii)</w:t>
      </w:r>
      <w:r w:rsidRPr="00D81385">
        <w:tab/>
        <w:t>an electrolyte drink; and</w:t>
      </w:r>
    </w:p>
    <w:p w14:paraId="21FD15F0" w14:textId="77777777" w:rsidR="0002640D" w:rsidRDefault="0002640D" w:rsidP="0002640D">
      <w:pPr>
        <w:pStyle w:val="FSCnMain"/>
      </w:pPr>
      <w:r w:rsidRPr="00D81385">
        <w:rPr>
          <w:rFonts w:ascii="Times New Roman" w:hAnsi="Times New Roman"/>
          <w:sz w:val="24"/>
          <w:szCs w:val="24"/>
        </w:rPr>
        <w:tab/>
      </w:r>
      <w:r w:rsidRPr="00FB5FC8">
        <w:t>(b)</w:t>
      </w:r>
      <w:r w:rsidRPr="00FB5FC8">
        <w:tab/>
        <w:t>does not include a brewed soft drink.</w:t>
      </w:r>
    </w:p>
    <w:p w14:paraId="053F6D3C" w14:textId="77777777" w:rsidR="0002640D" w:rsidRPr="00305C92" w:rsidRDefault="0002640D" w:rsidP="0002640D">
      <w:pPr>
        <w:pStyle w:val="FSCnMain"/>
        <w:ind w:left="3969"/>
        <w:rPr>
          <w:rFonts w:cs="Times New Roman"/>
          <w:sz w:val="20"/>
          <w:szCs w:val="20"/>
          <w:lang w:eastAsia="en-US"/>
        </w:rPr>
      </w:pPr>
      <w:r w:rsidRPr="00305C92">
        <w:rPr>
          <w:b/>
          <w:i/>
        </w:rPr>
        <w:t>sugar</w:t>
      </w:r>
      <w:r w:rsidRPr="00305C92">
        <w:rPr>
          <w:rFonts w:cs="Times New Roman"/>
          <w:sz w:val="20"/>
          <w:szCs w:val="20"/>
          <w:lang w:eastAsia="en-US"/>
        </w:rPr>
        <w:t xml:space="preserve"> </w:t>
      </w:r>
      <w:r w:rsidRPr="00305C92">
        <w:t>means, unless otherwise expressly stated, any of the following:</w:t>
      </w:r>
    </w:p>
    <w:p w14:paraId="6D4E507D" w14:textId="77777777" w:rsidR="0002640D" w:rsidRPr="00305C92" w:rsidRDefault="0002640D" w:rsidP="0002640D">
      <w:pPr>
        <w:pStyle w:val="FSCnMain"/>
        <w:ind w:left="3969"/>
      </w:pPr>
      <w:r w:rsidRPr="00305C92">
        <w:t>(a) white sugar;</w:t>
      </w:r>
    </w:p>
    <w:p w14:paraId="7072C65D" w14:textId="77777777" w:rsidR="0002640D" w:rsidRPr="00305C92" w:rsidRDefault="0002640D" w:rsidP="0002640D">
      <w:pPr>
        <w:pStyle w:val="FSCnMain"/>
        <w:ind w:left="3969"/>
      </w:pPr>
      <w:r w:rsidRPr="00305C92">
        <w:t>(b) caster sugar;</w:t>
      </w:r>
    </w:p>
    <w:p w14:paraId="7E30E0D5" w14:textId="77777777" w:rsidR="0002640D" w:rsidRPr="00305C92" w:rsidRDefault="0002640D" w:rsidP="0002640D">
      <w:pPr>
        <w:pStyle w:val="FSCnMain"/>
        <w:ind w:left="3969"/>
      </w:pPr>
      <w:r w:rsidRPr="00305C92">
        <w:t>(c) icing sugar;</w:t>
      </w:r>
    </w:p>
    <w:p w14:paraId="342E3FBE" w14:textId="77777777" w:rsidR="0002640D" w:rsidRPr="00305C92" w:rsidRDefault="0002640D" w:rsidP="0002640D">
      <w:pPr>
        <w:pStyle w:val="FSCnMain"/>
        <w:ind w:left="3969"/>
      </w:pPr>
      <w:r w:rsidRPr="00305C92">
        <w:t>(d) loaf sugar;</w:t>
      </w:r>
    </w:p>
    <w:p w14:paraId="6D50394F" w14:textId="77777777" w:rsidR="0002640D" w:rsidRPr="00305C92" w:rsidRDefault="0002640D" w:rsidP="0002640D">
      <w:pPr>
        <w:pStyle w:val="FSCnMain"/>
        <w:ind w:left="3969"/>
      </w:pPr>
      <w:r w:rsidRPr="00305C92">
        <w:t>(e) coffee sugar;</w:t>
      </w:r>
    </w:p>
    <w:p w14:paraId="39B36B02" w14:textId="77777777" w:rsidR="0002640D" w:rsidRPr="00305C92" w:rsidRDefault="0002640D" w:rsidP="0002640D">
      <w:pPr>
        <w:pStyle w:val="FSCnMain"/>
      </w:pPr>
      <w:r>
        <w:tab/>
      </w:r>
      <w:r w:rsidRPr="00305C92">
        <w:t>(f) raw sugar.</w:t>
      </w:r>
    </w:p>
    <w:p w14:paraId="331D075D" w14:textId="77777777" w:rsidR="0002640D" w:rsidRDefault="0002640D" w:rsidP="0002640D">
      <w:pPr>
        <w:pStyle w:val="FSCnMain"/>
        <w:tabs>
          <w:tab w:val="clear" w:pos="1701"/>
          <w:tab w:val="left" w:pos="851"/>
        </w:tabs>
        <w:rPr>
          <w:b/>
          <w:i/>
        </w:rPr>
      </w:pPr>
    </w:p>
    <w:p w14:paraId="7BB05A3E" w14:textId="77777777" w:rsidR="0002640D" w:rsidRDefault="0002640D" w:rsidP="0002640D">
      <w:pPr>
        <w:pStyle w:val="FSCnMain"/>
        <w:tabs>
          <w:tab w:val="clear" w:pos="1701"/>
          <w:tab w:val="left" w:pos="851"/>
        </w:tabs>
      </w:pPr>
      <w:r>
        <w:rPr>
          <w:b/>
          <w:i/>
        </w:rPr>
        <w:t>Note 3</w:t>
      </w:r>
      <w:r>
        <w:rPr>
          <w:i/>
        </w:rPr>
        <w:tab/>
      </w:r>
      <w:r>
        <w:t>In this Code (see subsection 1.1.2—9(1))</w:t>
      </w:r>
    </w:p>
    <w:p w14:paraId="3782E619" w14:textId="77777777" w:rsidR="0002640D" w:rsidRDefault="0002640D" w:rsidP="0002640D">
      <w:pPr>
        <w:pStyle w:val="FSCnMain"/>
        <w:ind w:left="1701" w:hanging="1701"/>
      </w:pPr>
      <w:r>
        <w:rPr>
          <w:b/>
          <w:i/>
        </w:rPr>
        <w:tab/>
      </w:r>
      <w:r>
        <w:rPr>
          <w:b/>
          <w:i/>
        </w:rPr>
        <w:tab/>
        <w:t xml:space="preserve">nutrition content claim </w:t>
      </w:r>
      <w:r>
        <w:t>means a claim that:</w:t>
      </w:r>
    </w:p>
    <w:p w14:paraId="33C22460" w14:textId="77777777" w:rsidR="0002640D" w:rsidRDefault="0002640D" w:rsidP="0002640D">
      <w:pPr>
        <w:pStyle w:val="FSCnMain"/>
        <w:tabs>
          <w:tab w:val="clear" w:pos="1701"/>
          <w:tab w:val="left" w:pos="2127"/>
        </w:tabs>
      </w:pPr>
      <w:r>
        <w:tab/>
        <w:t>(a) is about:</w:t>
      </w:r>
    </w:p>
    <w:p w14:paraId="39FA41CE" w14:textId="77777777" w:rsidR="0002640D" w:rsidRDefault="0002640D" w:rsidP="0002640D">
      <w:pPr>
        <w:pStyle w:val="FSCnMain"/>
        <w:tabs>
          <w:tab w:val="clear" w:pos="1701"/>
          <w:tab w:val="left" w:pos="1985"/>
        </w:tabs>
        <w:ind w:left="3402" w:hanging="992"/>
      </w:pPr>
      <w:r>
        <w:t>(i) the presence or absence of any of the following:</w:t>
      </w:r>
    </w:p>
    <w:p w14:paraId="50BB47E3" w14:textId="77777777" w:rsidR="0002640D" w:rsidRDefault="0002640D" w:rsidP="0002640D">
      <w:pPr>
        <w:pStyle w:val="FSCnMain"/>
        <w:tabs>
          <w:tab w:val="clear" w:pos="1701"/>
          <w:tab w:val="left" w:pos="2268"/>
        </w:tabs>
        <w:ind w:left="3402" w:hanging="708"/>
      </w:pPr>
      <w:r>
        <w:t>(A) *biologically active substance;</w:t>
      </w:r>
    </w:p>
    <w:p w14:paraId="3BC1B751" w14:textId="77777777" w:rsidR="0002640D" w:rsidRDefault="0002640D" w:rsidP="0002640D">
      <w:pPr>
        <w:pStyle w:val="FSCnMain"/>
        <w:tabs>
          <w:tab w:val="clear" w:pos="1701"/>
          <w:tab w:val="left" w:pos="2268"/>
        </w:tabs>
        <w:ind w:left="3402" w:hanging="708"/>
      </w:pPr>
      <w:r>
        <w:t>(B) *dietary fibre;</w:t>
      </w:r>
    </w:p>
    <w:p w14:paraId="11A26ED4" w14:textId="77777777" w:rsidR="0002640D" w:rsidRDefault="0002640D" w:rsidP="0002640D">
      <w:pPr>
        <w:pStyle w:val="FSCnMain"/>
        <w:tabs>
          <w:tab w:val="clear" w:pos="1701"/>
          <w:tab w:val="left" w:pos="2268"/>
        </w:tabs>
        <w:ind w:left="3402" w:hanging="708"/>
      </w:pPr>
      <w:r>
        <w:t>(C) energy;</w:t>
      </w:r>
    </w:p>
    <w:p w14:paraId="1F826AAC" w14:textId="77777777" w:rsidR="0002640D" w:rsidRDefault="0002640D" w:rsidP="0002640D">
      <w:pPr>
        <w:pStyle w:val="FSCnMain"/>
        <w:tabs>
          <w:tab w:val="clear" w:pos="1701"/>
          <w:tab w:val="left" w:pos="2268"/>
        </w:tabs>
        <w:ind w:left="3402" w:hanging="708"/>
      </w:pPr>
      <w:r>
        <w:t>(D) minerals;</w:t>
      </w:r>
    </w:p>
    <w:p w14:paraId="6943100A" w14:textId="77777777" w:rsidR="0002640D" w:rsidRDefault="0002640D" w:rsidP="0002640D">
      <w:pPr>
        <w:pStyle w:val="FSCnMain"/>
        <w:tabs>
          <w:tab w:val="clear" w:pos="1701"/>
          <w:tab w:val="left" w:pos="2268"/>
        </w:tabs>
        <w:ind w:left="3402" w:hanging="708"/>
      </w:pPr>
      <w:r>
        <w:t>(E) potassium;</w:t>
      </w:r>
    </w:p>
    <w:p w14:paraId="4CCB3B61" w14:textId="77777777" w:rsidR="0002640D" w:rsidRDefault="0002640D" w:rsidP="0002640D">
      <w:pPr>
        <w:pStyle w:val="FSCnMain"/>
        <w:tabs>
          <w:tab w:val="clear" w:pos="1701"/>
          <w:tab w:val="left" w:pos="2268"/>
        </w:tabs>
        <w:ind w:left="3402" w:hanging="708"/>
      </w:pPr>
      <w:r>
        <w:t>(F) protein;</w:t>
      </w:r>
    </w:p>
    <w:p w14:paraId="2BB1D9B9" w14:textId="77777777" w:rsidR="0002640D" w:rsidRDefault="0002640D" w:rsidP="0002640D">
      <w:pPr>
        <w:pStyle w:val="FSCnMain"/>
        <w:tabs>
          <w:tab w:val="clear" w:pos="1701"/>
          <w:tab w:val="left" w:pos="2268"/>
        </w:tabs>
        <w:ind w:left="3402" w:hanging="708"/>
      </w:pPr>
      <w:r>
        <w:t>(G) *carbohydrate;</w:t>
      </w:r>
    </w:p>
    <w:p w14:paraId="60FA4DBF" w14:textId="77777777" w:rsidR="0002640D" w:rsidRDefault="0002640D" w:rsidP="0002640D">
      <w:pPr>
        <w:pStyle w:val="FSCnMain"/>
        <w:tabs>
          <w:tab w:val="clear" w:pos="1701"/>
          <w:tab w:val="left" w:pos="2268"/>
        </w:tabs>
        <w:ind w:left="3402" w:hanging="708"/>
      </w:pPr>
      <w:r>
        <w:t>(H) ‘fat’,</w:t>
      </w:r>
    </w:p>
    <w:p w14:paraId="7D85736C" w14:textId="77777777" w:rsidR="0002640D" w:rsidRDefault="0002640D" w:rsidP="0002640D">
      <w:pPr>
        <w:pStyle w:val="FSCnMain"/>
        <w:tabs>
          <w:tab w:val="clear" w:pos="1701"/>
          <w:tab w:val="left" w:pos="2268"/>
        </w:tabs>
        <w:ind w:left="3402" w:hanging="708"/>
      </w:pPr>
      <w:r>
        <w:t>(I) the components of any one of protein, carbohydrate or’fat’,</w:t>
      </w:r>
    </w:p>
    <w:p w14:paraId="03A9EAAD" w14:textId="77777777" w:rsidR="0002640D" w:rsidRDefault="0002640D" w:rsidP="0002640D">
      <w:pPr>
        <w:pStyle w:val="FSCnMain"/>
        <w:tabs>
          <w:tab w:val="clear" w:pos="1701"/>
          <w:tab w:val="left" w:pos="2268"/>
        </w:tabs>
        <w:ind w:left="3402" w:hanging="708"/>
      </w:pPr>
      <w:r>
        <w:t>(J) *salt;</w:t>
      </w:r>
    </w:p>
    <w:p w14:paraId="289CACD1" w14:textId="77777777" w:rsidR="0002640D" w:rsidRDefault="0002640D" w:rsidP="0002640D">
      <w:pPr>
        <w:pStyle w:val="FSCnMain"/>
        <w:tabs>
          <w:tab w:val="clear" w:pos="1701"/>
          <w:tab w:val="left" w:pos="2268"/>
        </w:tabs>
        <w:ind w:left="3402" w:hanging="708"/>
      </w:pPr>
      <w:r>
        <w:t>(K) sodium;</w:t>
      </w:r>
    </w:p>
    <w:p w14:paraId="1D9E89B9" w14:textId="77777777" w:rsidR="0002640D" w:rsidRDefault="0002640D" w:rsidP="0002640D">
      <w:pPr>
        <w:pStyle w:val="FSCnMain"/>
        <w:tabs>
          <w:tab w:val="clear" w:pos="1701"/>
          <w:tab w:val="left" w:pos="2268"/>
        </w:tabs>
        <w:ind w:left="3402" w:hanging="708"/>
      </w:pPr>
      <w:r>
        <w:t>(L) vitamins; or</w:t>
      </w:r>
    </w:p>
    <w:p w14:paraId="66162FBC" w14:textId="77777777" w:rsidR="0002640D" w:rsidRDefault="0002640D" w:rsidP="0002640D">
      <w:pPr>
        <w:pStyle w:val="FSCnMain"/>
        <w:tabs>
          <w:tab w:val="clear" w:pos="1701"/>
          <w:tab w:val="left" w:pos="1985"/>
        </w:tabs>
        <w:ind w:left="3402" w:hanging="992"/>
      </w:pPr>
      <w:r>
        <w:t>(ii) *glycaemic index or glycaemic load; and</w:t>
      </w:r>
    </w:p>
    <w:p w14:paraId="7C321B9B" w14:textId="77777777" w:rsidR="0002640D" w:rsidRDefault="0002640D" w:rsidP="0002640D">
      <w:pPr>
        <w:pStyle w:val="FSCnMain"/>
        <w:tabs>
          <w:tab w:val="clear" w:pos="1701"/>
          <w:tab w:val="left" w:pos="1985"/>
        </w:tabs>
        <w:ind w:left="3402" w:hanging="1275"/>
      </w:pPr>
      <w:r>
        <w:t>(b) does not refer to the presence or absence of alcohol; and</w:t>
      </w:r>
    </w:p>
    <w:p w14:paraId="295A011F" w14:textId="77777777" w:rsidR="0002640D" w:rsidRDefault="0002640D" w:rsidP="0002640D">
      <w:pPr>
        <w:pStyle w:val="FSCnMain"/>
        <w:tabs>
          <w:tab w:val="clear" w:pos="1701"/>
          <w:tab w:val="left" w:pos="1985"/>
        </w:tabs>
        <w:ind w:left="3402" w:hanging="1275"/>
      </w:pPr>
      <w:r>
        <w:t>(c) is not a *health claim.</w:t>
      </w:r>
    </w:p>
    <w:p w14:paraId="7CE9C6D1" w14:textId="77777777" w:rsidR="0002640D" w:rsidRDefault="0002640D" w:rsidP="0002640D">
      <w:pPr>
        <w:pStyle w:val="FSCnPara"/>
        <w:tabs>
          <w:tab w:val="clear" w:pos="2268"/>
          <w:tab w:val="left" w:pos="1701"/>
        </w:tabs>
      </w:pPr>
      <w:r>
        <w:rPr>
          <w:b/>
          <w:i/>
        </w:rPr>
        <w:lastRenderedPageBreak/>
        <w:tab/>
      </w:r>
      <w:r w:rsidRPr="00EE44D5">
        <w:rPr>
          <w:b/>
          <w:i/>
        </w:rPr>
        <w:t>Note</w:t>
      </w:r>
      <w:r>
        <w:t xml:space="preserve"> See also subsections 2.6.2—5(4) and 2.10.2—8(3).</w:t>
      </w:r>
    </w:p>
    <w:p w14:paraId="2F7D47D9" w14:textId="77777777" w:rsidR="0002640D" w:rsidRDefault="0002640D" w:rsidP="0002640D">
      <w:pPr>
        <w:pStyle w:val="FSCh4Div"/>
      </w:pPr>
      <w:r>
        <w:t>Division 2</w:t>
      </w:r>
      <w:r>
        <w:tab/>
        <w:t>Packaged water</w:t>
      </w:r>
    </w:p>
    <w:p w14:paraId="743A167D" w14:textId="77777777" w:rsidR="0002640D" w:rsidRDefault="0002640D" w:rsidP="0002640D">
      <w:pPr>
        <w:pStyle w:val="FSCDraftingitem"/>
      </w:pPr>
      <w:r>
        <w:t>[3.3]</w:t>
      </w:r>
      <w:r>
        <w:tab/>
        <w:t>inserting after section 2.6.2—5</w:t>
      </w:r>
    </w:p>
    <w:p w14:paraId="737D9E43" w14:textId="77777777" w:rsidR="0002640D" w:rsidRDefault="0002640D" w:rsidP="0002640D">
      <w:pPr>
        <w:pStyle w:val="FSCh4Div"/>
      </w:pPr>
      <w:r>
        <w:t>Division 3</w:t>
      </w:r>
      <w:r>
        <w:tab/>
        <w:t>Non-alcoholic beverages and brewed soft drinks</w:t>
      </w:r>
    </w:p>
    <w:p w14:paraId="352D5D10" w14:textId="77777777" w:rsidR="0002640D" w:rsidRDefault="0002640D" w:rsidP="0002640D">
      <w:pPr>
        <w:pStyle w:val="FSCDraftingitem"/>
      </w:pPr>
      <w:r>
        <w:t>[3.4]</w:t>
      </w:r>
      <w:r>
        <w:tab/>
        <w:t>omitting sections 2.6.2—9</w:t>
      </w:r>
      <w:r w:rsidRPr="00C27985">
        <w:t xml:space="preserve"> </w:t>
      </w:r>
      <w:r>
        <w:t>to 2.6.2—13 inclusive, substituting</w:t>
      </w:r>
    </w:p>
    <w:p w14:paraId="2857F7DF" w14:textId="77777777" w:rsidR="0002640D" w:rsidRDefault="0002640D" w:rsidP="0002640D">
      <w:pPr>
        <w:pStyle w:val="FSCh5Section"/>
      </w:pPr>
      <w:r>
        <w:t>2.6.2—9</w:t>
      </w:r>
      <w:r>
        <w:tab/>
        <w:t xml:space="preserve">Requirement for food sold as a formulated beverage </w:t>
      </w:r>
    </w:p>
    <w:p w14:paraId="51CCDD4F" w14:textId="77777777" w:rsidR="0002640D" w:rsidRDefault="0002640D" w:rsidP="0002640D">
      <w:pPr>
        <w:pStyle w:val="FSCtMain"/>
      </w:pPr>
      <w:r>
        <w:tab/>
      </w:r>
      <w:r>
        <w:tab/>
        <w:t>A food sold as a formulated beverage must be a formulated beverage.</w:t>
      </w:r>
    </w:p>
    <w:p w14:paraId="3B52FB7D" w14:textId="77777777" w:rsidR="0002640D" w:rsidRDefault="0002640D" w:rsidP="0002640D">
      <w:pPr>
        <w:pStyle w:val="FSCh4Div"/>
      </w:pPr>
      <w:r>
        <w:t>Division 4</w:t>
      </w:r>
      <w:r>
        <w:tab/>
        <w:t>Electrolyte drinks and electrolyte drink bases</w:t>
      </w:r>
    </w:p>
    <w:p w14:paraId="7986B170" w14:textId="77777777" w:rsidR="0002640D" w:rsidRDefault="0002640D" w:rsidP="0002640D">
      <w:pPr>
        <w:pStyle w:val="FSCh5Section"/>
      </w:pPr>
      <w:r>
        <w:t>2.6.2—10</w:t>
      </w:r>
      <w:r>
        <w:tab/>
        <w:t>Definitions and interpretation</w:t>
      </w:r>
    </w:p>
    <w:p w14:paraId="3F521D62" w14:textId="77777777" w:rsidR="0002640D" w:rsidRPr="00797A71" w:rsidRDefault="0002640D" w:rsidP="0002640D">
      <w:pPr>
        <w:pStyle w:val="FSCtMain"/>
        <w:rPr>
          <w:i/>
        </w:rPr>
      </w:pPr>
      <w:r w:rsidRPr="00797A71">
        <w:rPr>
          <w:i/>
        </w:rPr>
        <w:tab/>
      </w:r>
      <w:r w:rsidRPr="00797A71">
        <w:rPr>
          <w:i/>
        </w:rPr>
        <w:tab/>
        <w:t>Definitions</w:t>
      </w:r>
    </w:p>
    <w:p w14:paraId="4C3E10A4" w14:textId="77777777" w:rsidR="0002640D" w:rsidRDefault="0002640D" w:rsidP="0002640D">
      <w:pPr>
        <w:pStyle w:val="FSCtMain"/>
      </w:pPr>
      <w:r>
        <w:tab/>
        <w:t>(1)</w:t>
      </w:r>
      <w:r>
        <w:tab/>
        <w:t>In this Division:</w:t>
      </w:r>
    </w:p>
    <w:p w14:paraId="04114DD5" w14:textId="77777777" w:rsidR="0002640D" w:rsidRDefault="0002640D" w:rsidP="0002640D">
      <w:pPr>
        <w:pStyle w:val="FSCtMain"/>
      </w:pPr>
      <w:r>
        <w:tab/>
      </w:r>
      <w:r>
        <w:tab/>
      </w:r>
      <w:r>
        <w:rPr>
          <w:b/>
          <w:i/>
        </w:rPr>
        <w:t>Prescribed</w:t>
      </w:r>
      <w:r w:rsidRPr="0031025D">
        <w:rPr>
          <w:b/>
          <w:i/>
        </w:rPr>
        <w:t xml:space="preserve"> </w:t>
      </w:r>
      <w:r>
        <w:rPr>
          <w:b/>
          <w:i/>
        </w:rPr>
        <w:t>electrolyte</w:t>
      </w:r>
      <w:r>
        <w:t xml:space="preserve"> means any of the following:</w:t>
      </w:r>
    </w:p>
    <w:p w14:paraId="26E38739" w14:textId="77777777" w:rsidR="0002640D" w:rsidRPr="004907E2" w:rsidRDefault="0002640D" w:rsidP="0002640D">
      <w:pPr>
        <w:pStyle w:val="FSCtSubpara"/>
        <w:tabs>
          <w:tab w:val="clear" w:pos="2268"/>
          <w:tab w:val="left" w:pos="2835"/>
        </w:tabs>
        <w:ind w:left="3402" w:hanging="3402"/>
        <w:rPr>
          <w:szCs w:val="20"/>
        </w:rPr>
      </w:pPr>
      <w:r>
        <w:rPr>
          <w:szCs w:val="20"/>
        </w:rPr>
        <w:tab/>
        <w:t>(a)</w:t>
      </w:r>
      <w:r>
        <w:rPr>
          <w:szCs w:val="20"/>
        </w:rPr>
        <w:tab/>
      </w:r>
      <w:r w:rsidRPr="004907E2">
        <w:rPr>
          <w:szCs w:val="20"/>
        </w:rPr>
        <w:t xml:space="preserve">sodium; </w:t>
      </w:r>
    </w:p>
    <w:p w14:paraId="01C75AF2" w14:textId="77777777" w:rsidR="0002640D" w:rsidRPr="004907E2" w:rsidRDefault="0002640D" w:rsidP="0002640D">
      <w:pPr>
        <w:pStyle w:val="FSCtSubpara"/>
        <w:tabs>
          <w:tab w:val="clear" w:pos="2268"/>
          <w:tab w:val="left" w:pos="2835"/>
        </w:tabs>
        <w:ind w:left="3402" w:hanging="3402"/>
        <w:rPr>
          <w:szCs w:val="20"/>
        </w:rPr>
      </w:pPr>
      <w:r>
        <w:rPr>
          <w:szCs w:val="20"/>
        </w:rPr>
        <w:tab/>
        <w:t>(b)</w:t>
      </w:r>
      <w:r>
        <w:rPr>
          <w:szCs w:val="20"/>
        </w:rPr>
        <w:tab/>
      </w:r>
      <w:r w:rsidRPr="004907E2">
        <w:rPr>
          <w:szCs w:val="20"/>
        </w:rPr>
        <w:t xml:space="preserve">potassium; </w:t>
      </w:r>
    </w:p>
    <w:p w14:paraId="57F8A318" w14:textId="77777777" w:rsidR="0002640D" w:rsidRPr="004907E2" w:rsidRDefault="0002640D" w:rsidP="0002640D">
      <w:pPr>
        <w:pStyle w:val="FSCtSubpara"/>
        <w:tabs>
          <w:tab w:val="clear" w:pos="2268"/>
          <w:tab w:val="left" w:pos="2835"/>
        </w:tabs>
        <w:ind w:left="3402" w:hanging="3402"/>
        <w:rPr>
          <w:szCs w:val="20"/>
        </w:rPr>
      </w:pPr>
      <w:r>
        <w:rPr>
          <w:szCs w:val="20"/>
        </w:rPr>
        <w:tab/>
        <w:t>(c)</w:t>
      </w:r>
      <w:r>
        <w:rPr>
          <w:szCs w:val="20"/>
        </w:rPr>
        <w:tab/>
      </w:r>
      <w:r w:rsidRPr="004907E2">
        <w:rPr>
          <w:szCs w:val="20"/>
        </w:rPr>
        <w:t>calcium;</w:t>
      </w:r>
    </w:p>
    <w:p w14:paraId="7895BDDD" w14:textId="77777777" w:rsidR="0002640D" w:rsidRPr="004907E2" w:rsidRDefault="0002640D" w:rsidP="0002640D">
      <w:pPr>
        <w:pStyle w:val="FSCtSubpara"/>
        <w:tabs>
          <w:tab w:val="clear" w:pos="2268"/>
          <w:tab w:val="left" w:pos="2835"/>
        </w:tabs>
        <w:ind w:left="3402" w:hanging="3402"/>
        <w:rPr>
          <w:szCs w:val="20"/>
        </w:rPr>
      </w:pPr>
      <w:r>
        <w:rPr>
          <w:szCs w:val="20"/>
        </w:rPr>
        <w:tab/>
        <w:t>(d)</w:t>
      </w:r>
      <w:r>
        <w:rPr>
          <w:szCs w:val="20"/>
        </w:rPr>
        <w:tab/>
      </w:r>
      <w:r w:rsidRPr="004907E2">
        <w:rPr>
          <w:szCs w:val="20"/>
        </w:rPr>
        <w:t>magnesium;</w:t>
      </w:r>
      <w:r>
        <w:rPr>
          <w:szCs w:val="20"/>
        </w:rPr>
        <w:t xml:space="preserve"> </w:t>
      </w:r>
    </w:p>
    <w:p w14:paraId="23A1B894" w14:textId="77777777" w:rsidR="0002640D" w:rsidRDefault="0002640D" w:rsidP="0002640D">
      <w:pPr>
        <w:pStyle w:val="FSCtSubpara"/>
        <w:tabs>
          <w:tab w:val="clear" w:pos="2268"/>
          <w:tab w:val="left" w:pos="2835"/>
        </w:tabs>
        <w:ind w:left="3402" w:hanging="3402"/>
        <w:rPr>
          <w:szCs w:val="20"/>
        </w:rPr>
      </w:pPr>
      <w:r>
        <w:rPr>
          <w:szCs w:val="20"/>
        </w:rPr>
        <w:tab/>
        <w:t>(e)</w:t>
      </w:r>
      <w:r>
        <w:rPr>
          <w:szCs w:val="20"/>
        </w:rPr>
        <w:tab/>
      </w:r>
      <w:r w:rsidRPr="004907E2">
        <w:rPr>
          <w:szCs w:val="20"/>
        </w:rPr>
        <w:t>chloride.</w:t>
      </w:r>
    </w:p>
    <w:p w14:paraId="0E32D1D2" w14:textId="77777777" w:rsidR="0002640D" w:rsidRPr="00E4598C" w:rsidRDefault="0002640D" w:rsidP="0002640D">
      <w:pPr>
        <w:pStyle w:val="FSCtMain"/>
        <w:rPr>
          <w:i/>
        </w:rPr>
      </w:pPr>
      <w:r w:rsidRPr="00797A71">
        <w:rPr>
          <w:i/>
        </w:rPr>
        <w:tab/>
      </w:r>
      <w:r w:rsidRPr="00797A71">
        <w:rPr>
          <w:i/>
        </w:rPr>
        <w:tab/>
        <w:t>Interpretation of compositional and declaration requirements</w:t>
      </w:r>
    </w:p>
    <w:p w14:paraId="4EA826C7" w14:textId="77777777" w:rsidR="0002640D" w:rsidRPr="00E4598C" w:rsidRDefault="0002640D" w:rsidP="0002640D">
      <w:pPr>
        <w:pStyle w:val="FSCtMain"/>
      </w:pPr>
      <w:r w:rsidRPr="00E4598C">
        <w:tab/>
        <w:t>(2)</w:t>
      </w:r>
      <w:r w:rsidRPr="00E4598C">
        <w:tab/>
      </w:r>
      <w:r w:rsidRPr="00E4598C">
        <w:rPr>
          <w:szCs w:val="20"/>
        </w:rPr>
        <w:t>For an electrolyte drink base, the compositional and declaration requirements in this Division apply to an electrolyte drink base as ready to drink</w:t>
      </w:r>
      <w:r w:rsidRPr="00E4598C">
        <w:t>.</w:t>
      </w:r>
    </w:p>
    <w:p w14:paraId="23E470B1" w14:textId="77777777" w:rsidR="0002640D" w:rsidRPr="001D1563" w:rsidRDefault="0002640D" w:rsidP="0002640D">
      <w:pPr>
        <w:pStyle w:val="FSCh5Section"/>
      </w:pPr>
      <w:bookmarkStart w:id="247" w:name="_Toc371505592"/>
      <w:bookmarkStart w:id="248" w:name="_Toc400032208"/>
      <w:r>
        <w:t>2.6.2—11</w:t>
      </w:r>
      <w:r w:rsidRPr="001D1563">
        <w:tab/>
      </w:r>
      <w:r>
        <w:t>Composition of</w:t>
      </w:r>
      <w:r w:rsidRPr="001D1563">
        <w:t xml:space="preserve"> electrolyte drink or electrolyte drink base</w:t>
      </w:r>
      <w:bookmarkEnd w:id="247"/>
      <w:bookmarkEnd w:id="248"/>
    </w:p>
    <w:p w14:paraId="0DC40C52" w14:textId="77777777" w:rsidR="0002640D" w:rsidRPr="001D1563" w:rsidRDefault="0002640D" w:rsidP="0002640D">
      <w:pPr>
        <w:pStyle w:val="FSCtMain"/>
      </w:pPr>
      <w:r>
        <w:tab/>
        <w:t>(1)</w:t>
      </w:r>
      <w:r>
        <w:tab/>
      </w:r>
      <w:r w:rsidRPr="001D1563">
        <w:t>A food that is sold as an electrolyte drink or an electrolyte drink base must</w:t>
      </w:r>
      <w:r>
        <w:t xml:space="preserve"> </w:t>
      </w:r>
      <w:r w:rsidRPr="001D1563">
        <w:t>be an electrolyte drink or an electrolyte drink base, as appropriate</w:t>
      </w:r>
      <w:r>
        <w:t>.</w:t>
      </w:r>
    </w:p>
    <w:p w14:paraId="35196D59" w14:textId="77777777" w:rsidR="0002640D" w:rsidRPr="001D1563" w:rsidRDefault="0002640D" w:rsidP="0002640D">
      <w:pPr>
        <w:pStyle w:val="FSCtPara"/>
        <w:tabs>
          <w:tab w:val="clear" w:pos="1701"/>
          <w:tab w:val="left" w:pos="1134"/>
        </w:tabs>
        <w:ind w:left="1701" w:hanging="1701"/>
      </w:pPr>
      <w:r>
        <w:tab/>
        <w:t>(2)</w:t>
      </w:r>
      <w:r>
        <w:tab/>
        <w:t>An</w:t>
      </w:r>
      <w:r w:rsidRPr="001D1563">
        <w:t xml:space="preserve"> electrolyte drink or electrolyte drink base </w:t>
      </w:r>
      <w:r>
        <w:t xml:space="preserve">must </w:t>
      </w:r>
      <w:r w:rsidRPr="001D1563">
        <w:t>contain:</w:t>
      </w:r>
    </w:p>
    <w:p w14:paraId="2B84B4B8" w14:textId="77777777" w:rsidR="0002640D" w:rsidRPr="001D1563" w:rsidRDefault="0002640D" w:rsidP="0002640D">
      <w:pPr>
        <w:pStyle w:val="FSCtSubpara"/>
        <w:tabs>
          <w:tab w:val="clear" w:pos="2268"/>
          <w:tab w:val="left" w:pos="1701"/>
        </w:tabs>
        <w:ind w:left="2268" w:hanging="2268"/>
      </w:pPr>
      <w:r>
        <w:tab/>
        <w:t>(a</w:t>
      </w:r>
      <w:r w:rsidRPr="001D1563">
        <w:t>)</w:t>
      </w:r>
      <w:r w:rsidRPr="001D1563">
        <w:tab/>
        <w:t>no less than 10 mmol/L of sodium; and</w:t>
      </w:r>
    </w:p>
    <w:p w14:paraId="1D15B1F7" w14:textId="77777777" w:rsidR="0002640D" w:rsidRPr="001D1563" w:rsidRDefault="0002640D" w:rsidP="0002640D">
      <w:pPr>
        <w:pStyle w:val="FSCtSubpara"/>
        <w:tabs>
          <w:tab w:val="clear" w:pos="2268"/>
          <w:tab w:val="left" w:pos="1701"/>
        </w:tabs>
        <w:ind w:left="2268" w:hanging="2268"/>
      </w:pPr>
      <w:r>
        <w:tab/>
        <w:t>(b</w:t>
      </w:r>
      <w:r w:rsidRPr="001D1563">
        <w:t>)</w:t>
      </w:r>
      <w:r w:rsidRPr="001D1563">
        <w:tab/>
        <w:t xml:space="preserve">no less than </w:t>
      </w:r>
      <w:r>
        <w:t>20</w:t>
      </w:r>
      <w:r w:rsidRPr="001D1563">
        <w:t xml:space="preserve"> g/L and no more than 100 g/L in total of the following:</w:t>
      </w:r>
    </w:p>
    <w:p w14:paraId="64591045" w14:textId="77777777" w:rsidR="0002640D" w:rsidRPr="001D1563" w:rsidRDefault="0002640D" w:rsidP="0002640D">
      <w:pPr>
        <w:pStyle w:val="FSCtSubsub"/>
        <w:tabs>
          <w:tab w:val="clear" w:pos="2835"/>
          <w:tab w:val="left" w:pos="2268"/>
        </w:tabs>
        <w:ind w:left="2835" w:hanging="2835"/>
      </w:pPr>
      <w:r>
        <w:tab/>
        <w:t>(i</w:t>
      </w:r>
      <w:r w:rsidRPr="001D1563">
        <w:t>)</w:t>
      </w:r>
      <w:r w:rsidRPr="001D1563">
        <w:tab/>
        <w:t>dextrose;</w:t>
      </w:r>
    </w:p>
    <w:p w14:paraId="47D2021B" w14:textId="77777777" w:rsidR="0002640D" w:rsidRPr="001D1563" w:rsidRDefault="0002640D" w:rsidP="0002640D">
      <w:pPr>
        <w:pStyle w:val="FSCtSubsub"/>
        <w:tabs>
          <w:tab w:val="clear" w:pos="2835"/>
          <w:tab w:val="left" w:pos="2268"/>
        </w:tabs>
        <w:ind w:left="2835" w:hanging="2835"/>
      </w:pPr>
      <w:r>
        <w:tab/>
        <w:t>(ii</w:t>
      </w:r>
      <w:r w:rsidRPr="001D1563">
        <w:t>)</w:t>
      </w:r>
      <w:r w:rsidRPr="001D1563">
        <w:tab/>
        <w:t>fructose;</w:t>
      </w:r>
    </w:p>
    <w:p w14:paraId="5EA793E2" w14:textId="77777777" w:rsidR="0002640D" w:rsidRPr="001D1563" w:rsidRDefault="0002640D" w:rsidP="0002640D">
      <w:pPr>
        <w:pStyle w:val="FSCtSubsub"/>
        <w:tabs>
          <w:tab w:val="clear" w:pos="2835"/>
          <w:tab w:val="left" w:pos="2268"/>
        </w:tabs>
        <w:ind w:left="2835" w:hanging="2835"/>
      </w:pPr>
      <w:r>
        <w:tab/>
        <w:t>(iii</w:t>
      </w:r>
      <w:r w:rsidRPr="001D1563">
        <w:t>)</w:t>
      </w:r>
      <w:r w:rsidRPr="001D1563">
        <w:tab/>
        <w:t>glucose syrup;</w:t>
      </w:r>
    </w:p>
    <w:p w14:paraId="5DE12947" w14:textId="77777777" w:rsidR="0002640D" w:rsidRPr="001D1563" w:rsidRDefault="0002640D" w:rsidP="0002640D">
      <w:pPr>
        <w:pStyle w:val="FSCtSubsub"/>
        <w:tabs>
          <w:tab w:val="clear" w:pos="2835"/>
          <w:tab w:val="left" w:pos="2268"/>
        </w:tabs>
        <w:ind w:left="2835" w:hanging="2835"/>
      </w:pPr>
      <w:r>
        <w:tab/>
        <w:t>(iv</w:t>
      </w:r>
      <w:r w:rsidRPr="001D1563">
        <w:t>)</w:t>
      </w:r>
      <w:r w:rsidRPr="001D1563">
        <w:tab/>
        <w:t>maltodextrin;</w:t>
      </w:r>
    </w:p>
    <w:p w14:paraId="21F98361" w14:textId="77777777" w:rsidR="0002640D" w:rsidRPr="001D1563" w:rsidRDefault="0002640D" w:rsidP="0002640D">
      <w:pPr>
        <w:pStyle w:val="FSCtSubsub"/>
        <w:tabs>
          <w:tab w:val="clear" w:pos="2835"/>
          <w:tab w:val="left" w:pos="2268"/>
        </w:tabs>
        <w:ind w:left="2835" w:hanging="2835"/>
      </w:pPr>
      <w:r>
        <w:tab/>
        <w:t>(v</w:t>
      </w:r>
      <w:r w:rsidRPr="001D1563">
        <w:t>)</w:t>
      </w:r>
      <w:r w:rsidRPr="001D1563">
        <w:tab/>
        <w:t>sucrose; and</w:t>
      </w:r>
    </w:p>
    <w:p w14:paraId="7C31DA01" w14:textId="77777777" w:rsidR="0002640D" w:rsidRPr="001D1563" w:rsidRDefault="0002640D" w:rsidP="0002640D">
      <w:pPr>
        <w:pStyle w:val="FSCtSubpara"/>
        <w:tabs>
          <w:tab w:val="clear" w:pos="2268"/>
          <w:tab w:val="left" w:pos="1701"/>
        </w:tabs>
        <w:ind w:left="2268" w:hanging="2268"/>
      </w:pPr>
      <w:r>
        <w:tab/>
        <w:t>(c</w:t>
      </w:r>
      <w:r w:rsidRPr="001D1563">
        <w:t>)</w:t>
      </w:r>
      <w:r w:rsidRPr="001D1563">
        <w:tab/>
        <w:t xml:space="preserve">no more than </w:t>
      </w:r>
      <w:r>
        <w:t>20 g/L fructose</w:t>
      </w:r>
      <w:r w:rsidRPr="001D1563">
        <w:t>.</w:t>
      </w:r>
    </w:p>
    <w:p w14:paraId="1F855A4B" w14:textId="77777777" w:rsidR="0002640D" w:rsidRPr="001D1563" w:rsidRDefault="0002640D" w:rsidP="0002640D">
      <w:pPr>
        <w:pStyle w:val="FSCtMain"/>
      </w:pPr>
      <w:r>
        <w:tab/>
        <w:t>(3)</w:t>
      </w:r>
      <w:r>
        <w:tab/>
        <w:t>An</w:t>
      </w:r>
      <w:r w:rsidRPr="001D1563">
        <w:t xml:space="preserve"> electrolyte drink or electrolyte drink base </w:t>
      </w:r>
      <w:r>
        <w:t xml:space="preserve">may </w:t>
      </w:r>
      <w:r w:rsidRPr="001D1563">
        <w:t>contain:</w:t>
      </w:r>
    </w:p>
    <w:p w14:paraId="59E5A186" w14:textId="77777777" w:rsidR="0002640D" w:rsidRPr="001D1563" w:rsidRDefault="0002640D" w:rsidP="0002640D">
      <w:pPr>
        <w:pStyle w:val="FSCtPara"/>
      </w:pPr>
      <w:r w:rsidRPr="001D1563">
        <w:tab/>
        <w:t>(a)</w:t>
      </w:r>
      <w:r w:rsidRPr="001D1563">
        <w:tab/>
        <w:t>calcium phosphates;</w:t>
      </w:r>
    </w:p>
    <w:p w14:paraId="597266F2" w14:textId="77777777" w:rsidR="0002640D" w:rsidRPr="001D1563" w:rsidRDefault="0002640D" w:rsidP="0002640D">
      <w:pPr>
        <w:pStyle w:val="FSCtPara"/>
      </w:pPr>
      <w:r w:rsidRPr="001D1563">
        <w:tab/>
        <w:t>(b)</w:t>
      </w:r>
      <w:r w:rsidRPr="001D1563">
        <w:tab/>
        <w:t>potassium phosphates;</w:t>
      </w:r>
    </w:p>
    <w:p w14:paraId="14E446E1" w14:textId="77777777" w:rsidR="0002640D" w:rsidRPr="001D1563" w:rsidRDefault="0002640D" w:rsidP="0002640D">
      <w:pPr>
        <w:pStyle w:val="FSCtPara"/>
      </w:pPr>
      <w:r w:rsidRPr="001D1563">
        <w:tab/>
        <w:t>(c)</w:t>
      </w:r>
      <w:r w:rsidRPr="001D1563">
        <w:tab/>
        <w:t>calcium citrates;</w:t>
      </w:r>
    </w:p>
    <w:p w14:paraId="147FEDF9" w14:textId="77777777" w:rsidR="0002640D" w:rsidRPr="001D1563" w:rsidRDefault="0002640D" w:rsidP="0002640D">
      <w:pPr>
        <w:pStyle w:val="FSCtPara"/>
      </w:pPr>
      <w:r w:rsidRPr="001D1563">
        <w:tab/>
        <w:t>(d)</w:t>
      </w:r>
      <w:r w:rsidRPr="001D1563">
        <w:tab/>
        <w:t>potassium citrates;</w:t>
      </w:r>
    </w:p>
    <w:p w14:paraId="0AD920D5" w14:textId="77777777" w:rsidR="0002640D" w:rsidRPr="001D1563" w:rsidRDefault="0002640D" w:rsidP="0002640D">
      <w:pPr>
        <w:pStyle w:val="FSCtPara"/>
      </w:pPr>
      <w:r w:rsidRPr="001D1563">
        <w:tab/>
        <w:t>(e)</w:t>
      </w:r>
      <w:r w:rsidRPr="001D1563">
        <w:tab/>
        <w:t>sodium citrates;</w:t>
      </w:r>
    </w:p>
    <w:p w14:paraId="46CD47C5" w14:textId="77777777" w:rsidR="0002640D" w:rsidRPr="001D1563" w:rsidRDefault="0002640D" w:rsidP="0002640D">
      <w:pPr>
        <w:pStyle w:val="FSCtPara"/>
      </w:pPr>
      <w:r w:rsidRPr="001D1563">
        <w:tab/>
        <w:t>(f)</w:t>
      </w:r>
      <w:r w:rsidRPr="001D1563">
        <w:tab/>
        <w:t>potassium carbonates, including potassium bicarbonate;</w:t>
      </w:r>
    </w:p>
    <w:p w14:paraId="4C4739D7" w14:textId="77777777" w:rsidR="0002640D" w:rsidRPr="001D1563" w:rsidRDefault="0002640D" w:rsidP="0002640D">
      <w:pPr>
        <w:pStyle w:val="FSCtPara"/>
      </w:pPr>
      <w:r w:rsidRPr="001D1563">
        <w:tab/>
        <w:t>(g)</w:t>
      </w:r>
      <w:r w:rsidRPr="001D1563">
        <w:tab/>
        <w:t>potassium chloride;</w:t>
      </w:r>
    </w:p>
    <w:p w14:paraId="6382CECF" w14:textId="77777777" w:rsidR="0002640D" w:rsidRPr="001D1563" w:rsidRDefault="0002640D" w:rsidP="0002640D">
      <w:pPr>
        <w:pStyle w:val="FSCtPara"/>
      </w:pPr>
      <w:r w:rsidRPr="001D1563">
        <w:lastRenderedPageBreak/>
        <w:tab/>
        <w:t>(h)</w:t>
      </w:r>
      <w:r w:rsidRPr="001D1563">
        <w:tab/>
        <w:t>calcium chloride;</w:t>
      </w:r>
    </w:p>
    <w:p w14:paraId="2C44D602" w14:textId="77777777" w:rsidR="0002640D" w:rsidRPr="001D1563" w:rsidRDefault="0002640D" w:rsidP="0002640D">
      <w:pPr>
        <w:pStyle w:val="FSCtPara"/>
      </w:pPr>
      <w:r w:rsidRPr="001D1563">
        <w:tab/>
        <w:t>(i)</w:t>
      </w:r>
      <w:r w:rsidRPr="001D1563">
        <w:tab/>
        <w:t>sodium chloride;</w:t>
      </w:r>
    </w:p>
    <w:p w14:paraId="67D2D966" w14:textId="77777777" w:rsidR="0002640D" w:rsidRPr="001D1563" w:rsidRDefault="0002640D" w:rsidP="0002640D">
      <w:pPr>
        <w:pStyle w:val="FSCtPara"/>
      </w:pPr>
      <w:r w:rsidRPr="001D1563">
        <w:tab/>
        <w:t>(j)</w:t>
      </w:r>
      <w:r w:rsidRPr="001D1563">
        <w:tab/>
        <w:t>calcium lactate;</w:t>
      </w:r>
    </w:p>
    <w:p w14:paraId="1EEB139F" w14:textId="77777777" w:rsidR="0002640D" w:rsidRPr="001D1563" w:rsidRDefault="0002640D" w:rsidP="0002640D">
      <w:pPr>
        <w:pStyle w:val="FSCtPara"/>
      </w:pPr>
      <w:r w:rsidRPr="001D1563">
        <w:tab/>
        <w:t>(k)</w:t>
      </w:r>
      <w:r w:rsidRPr="001D1563">
        <w:tab/>
        <w:t>magnesium lactate;</w:t>
      </w:r>
    </w:p>
    <w:p w14:paraId="3B5C6E03" w14:textId="77777777" w:rsidR="0002640D" w:rsidRPr="001D1563" w:rsidRDefault="0002640D" w:rsidP="0002640D">
      <w:pPr>
        <w:pStyle w:val="FSCtPara"/>
      </w:pPr>
      <w:r w:rsidRPr="001D1563">
        <w:tab/>
        <w:t>(l)</w:t>
      </w:r>
      <w:r w:rsidRPr="001D1563">
        <w:tab/>
        <w:t>magnesium sulphate.</w:t>
      </w:r>
    </w:p>
    <w:p w14:paraId="63F54C38" w14:textId="77777777" w:rsidR="0002640D" w:rsidRPr="001D1563" w:rsidRDefault="0002640D" w:rsidP="0002640D">
      <w:pPr>
        <w:pStyle w:val="FSCh5Section"/>
      </w:pPr>
      <w:bookmarkStart w:id="249" w:name="_Ref332964832"/>
      <w:bookmarkStart w:id="250" w:name="_Toc371505593"/>
      <w:bookmarkStart w:id="251" w:name="_Toc400032210"/>
      <w:r>
        <w:t>2.6.2—12</w:t>
      </w:r>
      <w:r w:rsidRPr="001D1563">
        <w:tab/>
        <w:t>Labelling of electrolyte drinks and electrolyte drink bases</w:t>
      </w:r>
      <w:bookmarkEnd w:id="249"/>
      <w:bookmarkEnd w:id="250"/>
      <w:bookmarkEnd w:id="251"/>
    </w:p>
    <w:p w14:paraId="5479E618" w14:textId="77777777" w:rsidR="0002640D" w:rsidRDefault="0002640D" w:rsidP="0002640D">
      <w:pPr>
        <w:pStyle w:val="FSCtMain"/>
      </w:pPr>
      <w:r w:rsidRPr="001D1563">
        <w:tab/>
        <w:t>(1)</w:t>
      </w:r>
      <w:r w:rsidRPr="001D1563">
        <w:tab/>
      </w:r>
      <w:r w:rsidRPr="0013132B">
        <w:rPr>
          <w:szCs w:val="20"/>
        </w:rPr>
        <w:t xml:space="preserve">‘Electrolyte drink’ is a *prescribed name for an electrolyte drink and </w:t>
      </w:r>
      <w:r>
        <w:rPr>
          <w:szCs w:val="20"/>
        </w:rPr>
        <w:t xml:space="preserve">an </w:t>
      </w:r>
      <w:r w:rsidRPr="0013132B">
        <w:rPr>
          <w:szCs w:val="20"/>
        </w:rPr>
        <w:t>electrolyte drink base</w:t>
      </w:r>
      <w:r>
        <w:t>.</w:t>
      </w:r>
    </w:p>
    <w:p w14:paraId="637D1A2E" w14:textId="77777777" w:rsidR="0002640D" w:rsidRDefault="0002640D" w:rsidP="0002640D">
      <w:pPr>
        <w:pStyle w:val="FSCtMain"/>
        <w:spacing w:before="60" w:after="60"/>
      </w:pPr>
      <w:r>
        <w:tab/>
        <w:t>(2)</w:t>
      </w:r>
      <w:r>
        <w:tab/>
      </w:r>
      <w:r w:rsidRPr="00E22CB5">
        <w:t xml:space="preserve">For the labelling provisions, </w:t>
      </w:r>
      <w:r w:rsidRPr="00A972E0">
        <w:t>the following information is required</w:t>
      </w:r>
      <w:r w:rsidRPr="00E22CB5">
        <w:t>:</w:t>
      </w:r>
    </w:p>
    <w:p w14:paraId="51625364" w14:textId="77777777" w:rsidR="0002640D" w:rsidRPr="00AF33DB" w:rsidRDefault="0002640D" w:rsidP="0002640D">
      <w:pPr>
        <w:pStyle w:val="FSCtMain"/>
        <w:tabs>
          <w:tab w:val="clear" w:pos="1134"/>
          <w:tab w:val="left" w:pos="1701"/>
        </w:tabs>
        <w:spacing w:before="60" w:after="60"/>
        <w:ind w:left="2268" w:hanging="2268"/>
      </w:pPr>
      <w:r>
        <w:tab/>
        <w:t>(a)</w:t>
      </w:r>
      <w:r>
        <w:tab/>
      </w:r>
      <w:r w:rsidRPr="001D1563">
        <w:t xml:space="preserve">the recommended volume and </w:t>
      </w:r>
      <w:r w:rsidRPr="00AF33DB">
        <w:t>frequency of use; and</w:t>
      </w:r>
    </w:p>
    <w:p w14:paraId="442606C2" w14:textId="77777777" w:rsidR="0002640D" w:rsidRPr="00AF33DB" w:rsidRDefault="0002640D" w:rsidP="0002640D">
      <w:pPr>
        <w:pStyle w:val="FSCtMain"/>
        <w:tabs>
          <w:tab w:val="clear" w:pos="1134"/>
          <w:tab w:val="left" w:pos="1701"/>
        </w:tabs>
        <w:spacing w:before="60" w:after="60"/>
        <w:ind w:left="2268" w:hanging="2268"/>
      </w:pPr>
      <w:r w:rsidRPr="00AF33DB">
        <w:tab/>
        <w:t>(b)</w:t>
      </w:r>
      <w:r w:rsidRPr="00AF33DB">
        <w:tab/>
        <w:t>the nutrition information panel must also</w:t>
      </w:r>
      <w:r w:rsidRPr="00AF33DB">
        <w:rPr>
          <w:color w:val="FF0000"/>
        </w:rPr>
        <w:t xml:space="preserve"> </w:t>
      </w:r>
      <w:r w:rsidRPr="00AF33DB">
        <w:t xml:space="preserve">declare </w:t>
      </w:r>
      <w:r w:rsidRPr="00AF33DB">
        <w:rPr>
          <w:szCs w:val="20"/>
        </w:rPr>
        <w:t>the *average quantity per serving and per *unit quantity of</w:t>
      </w:r>
      <w:r w:rsidRPr="00AF33DB">
        <w:t>:</w:t>
      </w:r>
    </w:p>
    <w:p w14:paraId="01DE1BBE" w14:textId="77777777" w:rsidR="0002640D" w:rsidRDefault="0002640D" w:rsidP="0002640D">
      <w:pPr>
        <w:pStyle w:val="FSCtSubpara"/>
        <w:rPr>
          <w:szCs w:val="20"/>
        </w:rPr>
      </w:pPr>
      <w:r w:rsidRPr="00AF33DB">
        <w:rPr>
          <w:szCs w:val="20"/>
        </w:rPr>
        <w:tab/>
        <w:t>(i)</w:t>
      </w:r>
      <w:r w:rsidRPr="00AF33DB">
        <w:rPr>
          <w:szCs w:val="20"/>
        </w:rPr>
        <w:tab/>
        <w:t>each type of monosaccharide present; and</w:t>
      </w:r>
    </w:p>
    <w:p w14:paraId="40DB04A4" w14:textId="77777777" w:rsidR="0002640D" w:rsidRPr="00833CB5" w:rsidRDefault="0002640D" w:rsidP="0002640D">
      <w:pPr>
        <w:pStyle w:val="FSCtSubpara"/>
        <w:rPr>
          <w:szCs w:val="20"/>
        </w:rPr>
      </w:pPr>
      <w:r>
        <w:rPr>
          <w:szCs w:val="20"/>
        </w:rPr>
        <w:tab/>
        <w:t>(ii)</w:t>
      </w:r>
      <w:r>
        <w:rPr>
          <w:szCs w:val="20"/>
        </w:rPr>
        <w:tab/>
      </w:r>
      <w:r w:rsidRPr="009F65B0">
        <w:rPr>
          <w:szCs w:val="20"/>
        </w:rPr>
        <w:t>each type</w:t>
      </w:r>
      <w:r w:rsidRPr="00833CB5">
        <w:rPr>
          <w:szCs w:val="20"/>
        </w:rPr>
        <w:t xml:space="preserve"> of disaccharide present; and</w:t>
      </w:r>
    </w:p>
    <w:p w14:paraId="2D4DDF66" w14:textId="77777777" w:rsidR="0002640D" w:rsidRPr="00AF33DB" w:rsidRDefault="0002640D" w:rsidP="0002640D">
      <w:pPr>
        <w:pStyle w:val="FSCtSubpara"/>
        <w:rPr>
          <w:sz w:val="16"/>
          <w:szCs w:val="16"/>
        </w:rPr>
      </w:pPr>
      <w:r>
        <w:rPr>
          <w:szCs w:val="20"/>
        </w:rPr>
        <w:tab/>
      </w:r>
      <w:r w:rsidRPr="00AF33DB">
        <w:rPr>
          <w:szCs w:val="20"/>
        </w:rPr>
        <w:t>(iii)</w:t>
      </w:r>
      <w:r w:rsidRPr="00AF33DB">
        <w:rPr>
          <w:szCs w:val="20"/>
        </w:rPr>
        <w:tab/>
      </w:r>
      <w:r w:rsidRPr="003F2676">
        <w:rPr>
          <w:szCs w:val="20"/>
        </w:rPr>
        <w:t>subject to subsection (3), each prescribed electrolyte present</w:t>
      </w:r>
      <w:r>
        <w:rPr>
          <w:szCs w:val="20"/>
        </w:rPr>
        <w:t xml:space="preserve"> </w:t>
      </w:r>
      <w:r w:rsidRPr="004C7BCE">
        <w:rPr>
          <w:color w:val="000000" w:themeColor="text1"/>
        </w:rPr>
        <w:t>(other than sodium)</w:t>
      </w:r>
      <w:r w:rsidRPr="003F2676">
        <w:rPr>
          <w:szCs w:val="20"/>
        </w:rPr>
        <w:t>, expressed in milligrams or both milligrams and millimoles</w:t>
      </w:r>
      <w:r w:rsidRPr="00AF33DB">
        <w:rPr>
          <w:szCs w:val="20"/>
        </w:rPr>
        <w:t>.</w:t>
      </w:r>
    </w:p>
    <w:p w14:paraId="1F80120A" w14:textId="77777777" w:rsidR="0002640D" w:rsidRPr="00AF33DB" w:rsidRDefault="0002640D" w:rsidP="0002640D">
      <w:pPr>
        <w:pStyle w:val="FSCnMain"/>
        <w:tabs>
          <w:tab w:val="clear" w:pos="1701"/>
          <w:tab w:val="left" w:pos="2268"/>
        </w:tabs>
        <w:ind w:left="2835" w:hanging="2835"/>
        <w:rPr>
          <w:szCs w:val="16"/>
        </w:rPr>
      </w:pPr>
      <w:r w:rsidRPr="00AF33DB">
        <w:rPr>
          <w:szCs w:val="16"/>
        </w:rPr>
        <w:tab/>
      </w:r>
      <w:r w:rsidRPr="00AF33DB">
        <w:rPr>
          <w:b/>
          <w:i/>
          <w:szCs w:val="16"/>
        </w:rPr>
        <w:t>Note 1:</w:t>
      </w:r>
      <w:r w:rsidRPr="00AF33DB">
        <w:rPr>
          <w:szCs w:val="16"/>
        </w:rPr>
        <w:tab/>
        <w:t xml:space="preserve"> The labelling provisions are set out in Standard 1.2.1.</w:t>
      </w:r>
    </w:p>
    <w:p w14:paraId="0F40D623" w14:textId="77777777" w:rsidR="0002640D" w:rsidRPr="003F2676" w:rsidRDefault="0002640D" w:rsidP="0002640D">
      <w:pPr>
        <w:pStyle w:val="FSCnMain"/>
        <w:tabs>
          <w:tab w:val="clear" w:pos="1701"/>
          <w:tab w:val="left" w:pos="2268"/>
        </w:tabs>
        <w:ind w:left="2835" w:hanging="2835"/>
      </w:pPr>
      <w:r w:rsidRPr="00AF33DB">
        <w:rPr>
          <w:b/>
          <w:i/>
          <w:szCs w:val="16"/>
        </w:rPr>
        <w:tab/>
        <w:t>Note 2:</w:t>
      </w:r>
      <w:r w:rsidRPr="00AF33DB">
        <w:rPr>
          <w:szCs w:val="16"/>
        </w:rPr>
        <w:t xml:space="preserve"> Section 1.2.8—5 provides that packaged food (unless exempted) must include a nutrition information panel (NIP). Standard 1.2.8 also contains other requirements relating to NIPs e.g. what information must be included and how to express that </w:t>
      </w:r>
      <w:r w:rsidRPr="003F2676">
        <w:rPr>
          <w:szCs w:val="16"/>
        </w:rPr>
        <w:t xml:space="preserve">information in a NIP (see sections 1.2.8—6 and 1.2.8—7). </w:t>
      </w:r>
      <w:r w:rsidRPr="003F2676">
        <w:t>The requirements set out in paragraph 2.6.2—12(2)(b) are in addition to those other requirements.</w:t>
      </w:r>
    </w:p>
    <w:p w14:paraId="4563C1A6" w14:textId="77777777" w:rsidR="0002640D" w:rsidRPr="003F2676" w:rsidRDefault="0002640D" w:rsidP="0002640D">
      <w:pPr>
        <w:pStyle w:val="FSCnMain"/>
        <w:tabs>
          <w:tab w:val="clear" w:pos="1701"/>
          <w:tab w:val="left" w:pos="2268"/>
        </w:tabs>
        <w:ind w:left="2835" w:hanging="2835"/>
      </w:pPr>
      <w:r>
        <w:tab/>
      </w:r>
      <w:r w:rsidRPr="00041960">
        <w:rPr>
          <w:b/>
          <w:i/>
        </w:rPr>
        <w:t>Note 3</w:t>
      </w:r>
      <w:r w:rsidRPr="00041960">
        <w:t>: Subparagraph 1.2.8—6(1)(d)(iii) requires that a nutrition information panel must contain (among other information) the average quantity of sodium, expressed in milligrams or both milligrams and millimoles for a serving of the food and a unit quantity of the food.</w:t>
      </w:r>
    </w:p>
    <w:p w14:paraId="1F08DB58" w14:textId="77777777" w:rsidR="0002640D" w:rsidRPr="003F2676" w:rsidRDefault="0002640D" w:rsidP="0002640D">
      <w:pPr>
        <w:pStyle w:val="FSCtMain"/>
        <w:spacing w:before="60" w:after="60"/>
      </w:pPr>
      <w:r w:rsidRPr="003F2676">
        <w:tab/>
        <w:t>(3)</w:t>
      </w:r>
      <w:r w:rsidRPr="003F2676">
        <w:tab/>
        <w:t xml:space="preserve">Subparagraph 2.6.2—12(2)(b)(iii) applies only in relation to an </w:t>
      </w:r>
      <w:r w:rsidRPr="003F2676">
        <w:rPr>
          <w:szCs w:val="20"/>
        </w:rPr>
        <w:t xml:space="preserve">electrolyte drink or an electrolyte drink base to which a substance listed in subsection </w:t>
      </w:r>
      <w:r w:rsidRPr="003F2676">
        <w:t>2.6.2—11(3) has been added.</w:t>
      </w:r>
    </w:p>
    <w:p w14:paraId="31D370DF" w14:textId="77777777" w:rsidR="0002640D" w:rsidRPr="00E4598C" w:rsidRDefault="0002640D" w:rsidP="0002640D">
      <w:pPr>
        <w:pStyle w:val="FSCh5Section"/>
      </w:pPr>
      <w:r w:rsidRPr="003F2676">
        <w:t>2.6.2—13</w:t>
      </w:r>
      <w:r w:rsidRPr="003F2676">
        <w:tab/>
        <w:t xml:space="preserve">Labelling requirement for electrolyte drinks </w:t>
      </w:r>
      <w:r w:rsidRPr="00E4598C">
        <w:t>and electrolyte drink bases in small packages</w:t>
      </w:r>
    </w:p>
    <w:p w14:paraId="179DF3CE" w14:textId="77777777" w:rsidR="0002640D" w:rsidRPr="00E4598C" w:rsidRDefault="0002640D" w:rsidP="0002640D">
      <w:pPr>
        <w:pStyle w:val="FSCtMain"/>
      </w:pPr>
      <w:r w:rsidRPr="00E4598C">
        <w:tab/>
        <w:t>(1)</w:t>
      </w:r>
      <w:r w:rsidRPr="00E4598C">
        <w:tab/>
        <w:t xml:space="preserve">This section applies to an electrolyte drink or electrolyte drink base: </w:t>
      </w:r>
    </w:p>
    <w:p w14:paraId="219EE2AE" w14:textId="77777777" w:rsidR="0002640D" w:rsidRPr="00E4598C" w:rsidRDefault="0002640D" w:rsidP="0002640D">
      <w:pPr>
        <w:pStyle w:val="FSCtMain"/>
        <w:spacing w:before="60" w:after="60"/>
      </w:pPr>
      <w:r w:rsidRPr="00E4598C">
        <w:tab/>
      </w:r>
      <w:r w:rsidRPr="00E4598C">
        <w:tab/>
        <w:t>(a)</w:t>
      </w:r>
      <w:r w:rsidRPr="00E4598C">
        <w:tab/>
        <w:t>that is in a *small package; and</w:t>
      </w:r>
    </w:p>
    <w:p w14:paraId="676AF391" w14:textId="77777777" w:rsidR="0002640D" w:rsidRPr="00E4598C" w:rsidRDefault="0002640D" w:rsidP="0002640D">
      <w:pPr>
        <w:pStyle w:val="FSCtMain"/>
        <w:spacing w:before="60" w:after="60"/>
      </w:pPr>
      <w:r w:rsidRPr="00E4598C">
        <w:tab/>
      </w:r>
      <w:r w:rsidRPr="00E4598C">
        <w:tab/>
        <w:t>(b)</w:t>
      </w:r>
      <w:r w:rsidRPr="00E4598C">
        <w:tab/>
        <w:t>about which a *claim requiring nutrition information is made; and</w:t>
      </w:r>
    </w:p>
    <w:p w14:paraId="0D0EF106" w14:textId="77777777" w:rsidR="0002640D" w:rsidRPr="00E4598C" w:rsidRDefault="0002640D" w:rsidP="0002640D">
      <w:pPr>
        <w:pStyle w:val="FSCtMain"/>
        <w:spacing w:before="60" w:after="60"/>
      </w:pPr>
      <w:r w:rsidRPr="00E4598C">
        <w:tab/>
      </w:r>
      <w:r w:rsidRPr="00E4598C">
        <w:tab/>
        <w:t>(c)</w:t>
      </w:r>
      <w:r w:rsidRPr="00E4598C">
        <w:tab/>
        <w:t>the claim relates to a prescribed electrolyte.</w:t>
      </w:r>
    </w:p>
    <w:p w14:paraId="11412383" w14:textId="77777777" w:rsidR="0002640D" w:rsidRPr="00E4598C" w:rsidRDefault="0002640D" w:rsidP="0002640D">
      <w:pPr>
        <w:pStyle w:val="FSCtMain"/>
        <w:rPr>
          <w:szCs w:val="20"/>
        </w:rPr>
      </w:pPr>
      <w:r w:rsidRPr="00E4598C">
        <w:tab/>
        <w:t>(2)</w:t>
      </w:r>
      <w:r w:rsidRPr="00E4598C">
        <w:tab/>
        <w:t>For the labelling provisions, the required information includes the</w:t>
      </w:r>
      <w:r w:rsidRPr="00E4598C">
        <w:rPr>
          <w:szCs w:val="20"/>
        </w:rPr>
        <w:t xml:space="preserve"> *average quantity per serving of each prescribed electrolyte present, expressed in milligrams or both milligrams and millimoles.</w:t>
      </w:r>
    </w:p>
    <w:p w14:paraId="0AFC1223" w14:textId="77777777" w:rsidR="0002640D" w:rsidRPr="00E4598C" w:rsidRDefault="0002640D" w:rsidP="0002640D">
      <w:pPr>
        <w:pStyle w:val="FSCnMain"/>
        <w:tabs>
          <w:tab w:val="left" w:pos="2552"/>
        </w:tabs>
      </w:pPr>
      <w:r w:rsidRPr="00E4598C">
        <w:tab/>
      </w:r>
      <w:r w:rsidRPr="00E4598C">
        <w:rPr>
          <w:b/>
          <w:i/>
        </w:rPr>
        <w:t>Note 1:</w:t>
      </w:r>
      <w:r w:rsidRPr="00E4598C">
        <w:t xml:space="preserve"> </w:t>
      </w:r>
      <w:r w:rsidRPr="00E4598C">
        <w:tab/>
      </w:r>
      <w:r w:rsidRPr="00E4598C">
        <w:rPr>
          <w:szCs w:val="16"/>
        </w:rPr>
        <w:t>The labelling provisions are set out in Standard 1.2.1</w:t>
      </w:r>
      <w:r w:rsidRPr="00E4598C">
        <w:t>.</w:t>
      </w:r>
    </w:p>
    <w:p w14:paraId="03508F60" w14:textId="77777777" w:rsidR="0002640D" w:rsidRPr="00E4598C" w:rsidRDefault="0002640D" w:rsidP="0002640D">
      <w:pPr>
        <w:pStyle w:val="FSCnMain"/>
        <w:ind w:left="2552"/>
      </w:pPr>
      <w:r w:rsidRPr="00E4598C">
        <w:rPr>
          <w:b/>
          <w:i/>
        </w:rPr>
        <w:tab/>
        <w:t>Note 2:</w:t>
      </w:r>
      <w:r w:rsidRPr="00E4598C">
        <w:tab/>
        <w:t>The requirements of this subsection are in addition to the requirements set out in section 1.2.8—14. Section 1.2.8—14 sets out requirements for food for sale in a small package where a claim requiring nutrition information is made in relation to the food.</w:t>
      </w:r>
    </w:p>
    <w:p w14:paraId="4499145E" w14:textId="77777777" w:rsidR="0002640D" w:rsidRPr="00E4598C" w:rsidRDefault="0002640D" w:rsidP="0002640D">
      <w:pPr>
        <w:pStyle w:val="FSCtMain"/>
      </w:pPr>
      <w:r w:rsidRPr="00E4598C">
        <w:rPr>
          <w:szCs w:val="20"/>
        </w:rPr>
        <w:tab/>
        <w:t>(3)</w:t>
      </w:r>
      <w:r w:rsidRPr="00E4598C">
        <w:rPr>
          <w:szCs w:val="20"/>
        </w:rPr>
        <w:tab/>
        <w:t xml:space="preserve">Paragraph </w:t>
      </w:r>
      <w:r w:rsidRPr="00E4598C">
        <w:t xml:space="preserve">1.2.8—14(1)(b) does not apply to a </w:t>
      </w:r>
      <w:r>
        <w:t>*</w:t>
      </w:r>
      <w:r w:rsidRPr="00E4598C">
        <w:t>claim requiring nutrition information that is made about a prescribed electrolyte.</w:t>
      </w:r>
    </w:p>
    <w:p w14:paraId="3FAF205C" w14:textId="77777777" w:rsidR="0002640D" w:rsidRPr="00E4598C" w:rsidRDefault="0002640D" w:rsidP="0002640D">
      <w:pPr>
        <w:pStyle w:val="FSCnMain"/>
      </w:pPr>
      <w:r w:rsidRPr="00E4598C">
        <w:tab/>
      </w:r>
      <w:r w:rsidRPr="00E4598C">
        <w:rPr>
          <w:b/>
          <w:i/>
        </w:rPr>
        <w:t>Note:</w:t>
      </w:r>
      <w:r w:rsidRPr="00E4598C">
        <w:t xml:space="preserve"> </w:t>
      </w:r>
      <w:r w:rsidRPr="00E4598C">
        <w:tab/>
      </w:r>
      <w:r w:rsidRPr="00E4598C">
        <w:rPr>
          <w:szCs w:val="20"/>
        </w:rPr>
        <w:t xml:space="preserve">Paragraph </w:t>
      </w:r>
      <w:r w:rsidRPr="00E4598C">
        <w:t xml:space="preserve">1.2.8—14(1)(b) sets out nutrition information requirements for food for sale in a small package where a claim requiring nutrition information is made about a matter listed in Column 1 of the table to section S13—2 (such as sodium or a mineral with </w:t>
      </w:r>
      <w:r>
        <w:t xml:space="preserve">a </w:t>
      </w:r>
      <w:r w:rsidRPr="00BE716A">
        <w:t>Recommended Dietary Intake (RDI)</w:t>
      </w:r>
      <w:r w:rsidRPr="00E4598C">
        <w:t>).</w:t>
      </w:r>
    </w:p>
    <w:p w14:paraId="3C793B78" w14:textId="77777777" w:rsidR="0002640D" w:rsidRPr="00E4598C" w:rsidRDefault="0002640D" w:rsidP="0002640D">
      <w:pPr>
        <w:pStyle w:val="FSCh5Section"/>
      </w:pPr>
      <w:r w:rsidRPr="00E4598C">
        <w:t>2.6.2—14</w:t>
      </w:r>
      <w:r w:rsidRPr="00E4598C">
        <w:tab/>
      </w:r>
      <w:r w:rsidRPr="00E4598C">
        <w:rPr>
          <w:bCs w:val="0"/>
          <w:szCs w:val="22"/>
        </w:rPr>
        <w:t>Recommended dietary intake information prohibited</w:t>
      </w:r>
    </w:p>
    <w:p w14:paraId="11EB4077" w14:textId="77777777" w:rsidR="0002640D" w:rsidRPr="00BE716A" w:rsidRDefault="0002640D" w:rsidP="0002640D">
      <w:pPr>
        <w:pStyle w:val="FSCtMain"/>
        <w:rPr>
          <w:szCs w:val="20"/>
          <w:lang w:bidi="en-US"/>
        </w:rPr>
      </w:pPr>
      <w:r w:rsidRPr="00E4598C">
        <w:rPr>
          <w:lang w:bidi="en-US"/>
        </w:rPr>
        <w:t xml:space="preserve"> </w:t>
      </w:r>
      <w:r w:rsidRPr="00E4598C">
        <w:rPr>
          <w:lang w:bidi="en-US"/>
        </w:rPr>
        <w:tab/>
        <w:t>(1)</w:t>
      </w:r>
      <w:r w:rsidRPr="00E4598C">
        <w:rPr>
          <w:lang w:bidi="en-US"/>
        </w:rPr>
        <w:tab/>
      </w:r>
      <w:r w:rsidRPr="00E4598C">
        <w:rPr>
          <w:lang w:bidi="en-US"/>
        </w:rPr>
        <w:tab/>
      </w:r>
      <w:r w:rsidRPr="00E4598C">
        <w:rPr>
          <w:szCs w:val="20"/>
        </w:rPr>
        <w:t xml:space="preserve">An *RDI </w:t>
      </w:r>
      <w:r w:rsidRPr="00E4598C">
        <w:rPr>
          <w:lang w:bidi="en-US"/>
        </w:rPr>
        <w:t xml:space="preserve">must not be stated or declared in relation to </w:t>
      </w:r>
      <w:r w:rsidRPr="00E4598C">
        <w:t xml:space="preserve">an electrolyte drink or </w:t>
      </w:r>
      <w:r w:rsidRPr="00BE716A">
        <w:t>electrolyte drink base</w:t>
      </w:r>
      <w:r>
        <w:t>.</w:t>
      </w:r>
    </w:p>
    <w:p w14:paraId="0914CEDB" w14:textId="77777777" w:rsidR="0002640D" w:rsidRPr="00BE716A" w:rsidRDefault="0002640D" w:rsidP="0002640D">
      <w:pPr>
        <w:pStyle w:val="FSCtMain"/>
        <w:rPr>
          <w:lang w:bidi="en-US"/>
        </w:rPr>
      </w:pPr>
      <w:r>
        <w:rPr>
          <w:lang w:bidi="en-US"/>
        </w:rPr>
        <w:lastRenderedPageBreak/>
        <w:tab/>
      </w:r>
      <w:r w:rsidRPr="00BE716A">
        <w:rPr>
          <w:lang w:bidi="en-US"/>
        </w:rPr>
        <w:t>(2)</w:t>
      </w:r>
      <w:r w:rsidRPr="00BE716A">
        <w:rPr>
          <w:lang w:bidi="en-US"/>
        </w:rPr>
        <w:tab/>
      </w:r>
      <w:r w:rsidRPr="00BE716A">
        <w:t>Section 1.2.8—9 does not apply to an electrolyte drink or electrolyte drink base</w:t>
      </w:r>
      <w:r w:rsidRPr="00BE716A">
        <w:rPr>
          <w:lang w:bidi="en-US"/>
        </w:rPr>
        <w:t>.</w:t>
      </w:r>
    </w:p>
    <w:p w14:paraId="7E504ED1" w14:textId="77777777" w:rsidR="0002640D" w:rsidRPr="00326C66" w:rsidRDefault="0002640D" w:rsidP="0002640D">
      <w:pPr>
        <w:pStyle w:val="FSCnMain"/>
      </w:pPr>
      <w:r w:rsidRPr="00BE716A">
        <w:tab/>
      </w:r>
      <w:r w:rsidRPr="00BE716A">
        <w:rPr>
          <w:b/>
          <w:i/>
        </w:rPr>
        <w:t>Note:</w:t>
      </w:r>
      <w:r w:rsidRPr="00BE716A">
        <w:t xml:space="preserve"> </w:t>
      </w:r>
      <w:r w:rsidRPr="00BE716A">
        <w:tab/>
        <w:t>Section 1.2.8—9 relates to minerals with a</w:t>
      </w:r>
      <w:r>
        <w:t>n</w:t>
      </w:r>
      <w:r w:rsidRPr="00BE716A">
        <w:t xml:space="preserve"> RDI (among other things). Some of the </w:t>
      </w:r>
      <w:r w:rsidRPr="00E4598C">
        <w:t xml:space="preserve">substances listed as ‘prescribed electrolytes’ in section </w:t>
      </w:r>
      <w:r w:rsidRPr="00BE716A">
        <w:t xml:space="preserve">2.6.2—10 are also minerals with an RDI for the purposes of </w:t>
      </w:r>
      <w:r>
        <w:t>s</w:t>
      </w:r>
      <w:r w:rsidRPr="00B12983">
        <w:t xml:space="preserve">ection 1.2.8—9 </w:t>
      </w:r>
      <w:r>
        <w:t xml:space="preserve">e.g. calcium and magnesium </w:t>
      </w:r>
      <w:r w:rsidRPr="00BE716A">
        <w:t xml:space="preserve">(see </w:t>
      </w:r>
      <w:r>
        <w:t xml:space="preserve">also </w:t>
      </w:r>
      <w:r w:rsidRPr="00BE716A">
        <w:t>the table to section S1—3).</w:t>
      </w:r>
    </w:p>
    <w:p w14:paraId="69ECAF05" w14:textId="77777777" w:rsidR="0002640D" w:rsidRPr="00E4598C" w:rsidRDefault="0002640D" w:rsidP="0002640D">
      <w:pPr>
        <w:pStyle w:val="FSCh5Section"/>
      </w:pPr>
      <w:r>
        <w:t>2</w:t>
      </w:r>
      <w:r w:rsidRPr="0029526B">
        <w:t>.</w:t>
      </w:r>
      <w:r w:rsidRPr="00E4598C">
        <w:t>6.2—15</w:t>
      </w:r>
      <w:r w:rsidRPr="00E4598C">
        <w:tab/>
        <w:t>Nutrition content claims about electrolyte drinks and electrolyte drink bases</w:t>
      </w:r>
    </w:p>
    <w:p w14:paraId="38033FD6" w14:textId="77777777" w:rsidR="0002640D" w:rsidRPr="00E4598C" w:rsidRDefault="0002640D" w:rsidP="0002640D">
      <w:pPr>
        <w:pStyle w:val="FSCtMain"/>
        <w:tabs>
          <w:tab w:val="clear" w:pos="1134"/>
          <w:tab w:val="left" w:pos="851"/>
        </w:tabs>
        <w:ind w:hanging="850"/>
      </w:pPr>
      <w:r>
        <w:t>(1)</w:t>
      </w:r>
      <w:r>
        <w:tab/>
        <w:t xml:space="preserve">A </w:t>
      </w:r>
      <w:r w:rsidRPr="00E4598C">
        <w:t>nutrition content claim must not be made about an electrolyte drink or electrolyte drink base unless:</w:t>
      </w:r>
    </w:p>
    <w:p w14:paraId="6FB4D998" w14:textId="77777777" w:rsidR="0002640D" w:rsidRPr="00E4598C" w:rsidRDefault="0002640D" w:rsidP="0002640D">
      <w:pPr>
        <w:pStyle w:val="FSCtPara"/>
      </w:pPr>
      <w:r w:rsidRPr="00E4598C">
        <w:tab/>
        <w:t>(a)</w:t>
      </w:r>
      <w:r w:rsidRPr="00E4598C">
        <w:tab/>
        <w:t>subject to paragraph (2)(b), the claim is made in accordance with Division 4 of Standard 1.2.7; and</w:t>
      </w:r>
    </w:p>
    <w:p w14:paraId="080C88CB" w14:textId="77777777" w:rsidR="0002640D" w:rsidRPr="00E4598C" w:rsidRDefault="0002640D" w:rsidP="0002640D">
      <w:pPr>
        <w:pStyle w:val="FSCtPara"/>
      </w:pPr>
      <w:r w:rsidRPr="00E4598C">
        <w:tab/>
        <w:t>(b)</w:t>
      </w:r>
      <w:r w:rsidRPr="00E4598C">
        <w:tab/>
        <w:t>the claim is about any of the following:</w:t>
      </w:r>
    </w:p>
    <w:p w14:paraId="63E88EDD" w14:textId="77777777" w:rsidR="0002640D" w:rsidRPr="00E4598C" w:rsidRDefault="0002640D" w:rsidP="0002640D">
      <w:pPr>
        <w:pStyle w:val="FSCtSubpara"/>
      </w:pPr>
      <w:r w:rsidRPr="00E4598C">
        <w:tab/>
        <w:t xml:space="preserve">(i) </w:t>
      </w:r>
      <w:r w:rsidRPr="00E4598C">
        <w:tab/>
        <w:t>sugar or sugars; or</w:t>
      </w:r>
    </w:p>
    <w:p w14:paraId="6BBD9A2F" w14:textId="77777777" w:rsidR="0002640D" w:rsidRPr="00E4598C" w:rsidRDefault="0002640D" w:rsidP="0002640D">
      <w:pPr>
        <w:pStyle w:val="FSCtSubpara"/>
      </w:pPr>
      <w:r w:rsidRPr="00E4598C">
        <w:tab/>
        <w:t>(ii)</w:t>
      </w:r>
      <w:r w:rsidRPr="00E4598C">
        <w:tab/>
        <w:t>carbohydrate; or</w:t>
      </w:r>
    </w:p>
    <w:p w14:paraId="63D0FE79" w14:textId="77777777" w:rsidR="0002640D" w:rsidRPr="00E4598C" w:rsidRDefault="0002640D" w:rsidP="0002640D">
      <w:pPr>
        <w:pStyle w:val="FSCtSubpara"/>
      </w:pPr>
      <w:r w:rsidRPr="00E4598C">
        <w:tab/>
        <w:t xml:space="preserve">(iii)    </w:t>
      </w:r>
      <w:r w:rsidRPr="00E4598C">
        <w:tab/>
        <w:t>energy; or</w:t>
      </w:r>
    </w:p>
    <w:p w14:paraId="63BF5C78" w14:textId="77777777" w:rsidR="0002640D" w:rsidRPr="00E4598C" w:rsidRDefault="0002640D" w:rsidP="0002640D">
      <w:pPr>
        <w:pStyle w:val="FSCtSubpara"/>
      </w:pPr>
      <w:r w:rsidRPr="00E4598C">
        <w:tab/>
        <w:t>(iv)</w:t>
      </w:r>
      <w:r w:rsidRPr="00E4598C">
        <w:tab/>
        <w:t>the presence of one or more prescribed electrolytes.</w:t>
      </w:r>
    </w:p>
    <w:p w14:paraId="3F4B52BE" w14:textId="77777777" w:rsidR="0002640D" w:rsidRPr="00E4598C" w:rsidRDefault="0002640D" w:rsidP="0002640D">
      <w:pPr>
        <w:pStyle w:val="FSCtMain"/>
        <w:tabs>
          <w:tab w:val="clear" w:pos="1134"/>
          <w:tab w:val="left" w:pos="851"/>
        </w:tabs>
        <w:ind w:hanging="850"/>
      </w:pPr>
      <w:r>
        <w:t>(2)</w:t>
      </w:r>
      <w:r>
        <w:tab/>
        <w:t xml:space="preserve">If a </w:t>
      </w:r>
      <w:r w:rsidRPr="00E4598C">
        <w:t>nutrition content claim is made under subparagraph (1)(b)(iv):</w:t>
      </w:r>
    </w:p>
    <w:p w14:paraId="47B2131F" w14:textId="77777777" w:rsidR="0002640D" w:rsidRPr="00E4598C" w:rsidRDefault="0002640D" w:rsidP="0002640D">
      <w:pPr>
        <w:pStyle w:val="FSCtPara"/>
        <w:tabs>
          <w:tab w:val="clear" w:pos="1701"/>
        </w:tabs>
        <w:ind w:hanging="567"/>
      </w:pPr>
      <w:r w:rsidRPr="00E4598C">
        <w:rPr>
          <w:rFonts w:eastAsia="Calibri"/>
        </w:rPr>
        <w:t>(a)</w:t>
      </w:r>
      <w:r w:rsidRPr="00E4598C">
        <w:rPr>
          <w:rFonts w:eastAsia="Calibri"/>
        </w:rPr>
        <w:tab/>
        <w:t xml:space="preserve">the claim </w:t>
      </w:r>
      <w:r w:rsidRPr="00E4598C">
        <w:t>must only state that the electrolyte drink or electrolyte drink base contains one or both of the following:</w:t>
      </w:r>
    </w:p>
    <w:p w14:paraId="15946CC6" w14:textId="77777777" w:rsidR="0002640D" w:rsidRPr="00E4598C" w:rsidRDefault="0002640D" w:rsidP="0002640D">
      <w:pPr>
        <w:pStyle w:val="FSCtPara"/>
        <w:tabs>
          <w:tab w:val="clear" w:pos="1701"/>
          <w:tab w:val="left" w:pos="2268"/>
        </w:tabs>
        <w:ind w:left="2835" w:hanging="2835"/>
      </w:pPr>
      <w:r w:rsidRPr="00E4598C">
        <w:tab/>
        <w:t xml:space="preserve">(i) </w:t>
      </w:r>
      <w:r w:rsidRPr="00E4598C">
        <w:tab/>
        <w:t xml:space="preserve">electrolytes;  </w:t>
      </w:r>
    </w:p>
    <w:p w14:paraId="7A1D999B" w14:textId="77777777" w:rsidR="0002640D" w:rsidRPr="00E4598C" w:rsidRDefault="0002640D" w:rsidP="0002640D">
      <w:pPr>
        <w:pStyle w:val="FSCnPara"/>
        <w:ind w:left="2268" w:hanging="2268"/>
      </w:pPr>
      <w:r w:rsidRPr="00E4598C">
        <w:tab/>
      </w:r>
      <w:r w:rsidRPr="00E4598C">
        <w:rPr>
          <w:b/>
          <w:i/>
        </w:rPr>
        <w:t>Example:</w:t>
      </w:r>
      <w:r w:rsidRPr="00E4598C">
        <w:t xml:space="preserve"> Contains electrolytes.</w:t>
      </w:r>
    </w:p>
    <w:p w14:paraId="5C9AB98E" w14:textId="77777777" w:rsidR="0002640D" w:rsidRPr="00E4598C" w:rsidRDefault="0002640D" w:rsidP="0002640D">
      <w:pPr>
        <w:pStyle w:val="FSCtPara"/>
        <w:tabs>
          <w:tab w:val="clear" w:pos="1701"/>
          <w:tab w:val="left" w:pos="2268"/>
        </w:tabs>
        <w:ind w:left="2835" w:hanging="2835"/>
      </w:pPr>
      <w:r w:rsidRPr="00E4598C">
        <w:tab/>
        <w:t>(ii)</w:t>
      </w:r>
      <w:r w:rsidRPr="00E4598C">
        <w:tab/>
        <w:t>a prescribed electrolyte that is present in the food, provided that the claim also states that the prescribed electrolyte is an electrolyte; and</w:t>
      </w:r>
    </w:p>
    <w:p w14:paraId="36CD6C4E" w14:textId="77777777" w:rsidR="0002640D" w:rsidRPr="00E4598C" w:rsidRDefault="0002640D" w:rsidP="0002640D">
      <w:pPr>
        <w:pStyle w:val="FSCnPara"/>
        <w:ind w:left="2268" w:hanging="2268"/>
      </w:pPr>
      <w:r w:rsidRPr="00E4598C">
        <w:tab/>
      </w:r>
      <w:r w:rsidRPr="00E4598C">
        <w:rPr>
          <w:b/>
          <w:i/>
        </w:rPr>
        <w:t>Example:</w:t>
      </w:r>
      <w:r w:rsidRPr="00E4598C">
        <w:t xml:space="preserve"> This food contains the electrolytes: calcium and sodium.</w:t>
      </w:r>
    </w:p>
    <w:p w14:paraId="01C0BF83" w14:textId="77777777" w:rsidR="0002640D" w:rsidRDefault="0002640D" w:rsidP="0002640D">
      <w:pPr>
        <w:pStyle w:val="FSCtPara"/>
        <w:tabs>
          <w:tab w:val="clear" w:pos="1701"/>
          <w:tab w:val="left" w:pos="2268"/>
        </w:tabs>
        <w:ind w:hanging="567"/>
        <w:rPr>
          <w:rFonts w:eastAsia="Calibri"/>
        </w:rPr>
      </w:pPr>
      <w:r w:rsidRPr="00E4598C">
        <w:rPr>
          <w:rFonts w:eastAsia="Calibri"/>
        </w:rPr>
        <w:t>(b)</w:t>
      </w:r>
      <w:r w:rsidRPr="00E4598C">
        <w:rPr>
          <w:rFonts w:eastAsia="Calibri"/>
        </w:rPr>
        <w:tab/>
        <w:t xml:space="preserve">any conditions for nutrition content claims in Standard 1.2.7 that relate to a prescribed electrolyte </w:t>
      </w:r>
      <w:r>
        <w:rPr>
          <w:rFonts w:eastAsia="Calibri"/>
        </w:rPr>
        <w:t xml:space="preserve">present </w:t>
      </w:r>
      <w:r w:rsidRPr="00F43152">
        <w:t>in the food</w:t>
      </w:r>
      <w:r w:rsidRPr="001273EE">
        <w:rPr>
          <w:rFonts w:eastAsia="Calibri"/>
        </w:rPr>
        <w:t xml:space="preserve"> do not apply to the nut</w:t>
      </w:r>
      <w:r>
        <w:rPr>
          <w:rFonts w:eastAsia="Calibri"/>
        </w:rPr>
        <w:t>rition content claim.</w:t>
      </w:r>
    </w:p>
    <w:p w14:paraId="5A7FA987" w14:textId="77777777" w:rsidR="0002640D" w:rsidRDefault="0002640D" w:rsidP="0002640D">
      <w:pPr>
        <w:pStyle w:val="FSCh5Section"/>
      </w:pPr>
      <w:r w:rsidRPr="0029526B">
        <w:t>2.6.2—</w:t>
      </w:r>
      <w:r>
        <w:t>16</w:t>
      </w:r>
      <w:r>
        <w:tab/>
        <w:t>Health c</w:t>
      </w:r>
      <w:r w:rsidRPr="007B3E68">
        <w:t>laim</w:t>
      </w:r>
      <w:r>
        <w:t>s</w:t>
      </w:r>
      <w:r w:rsidRPr="007B3E68">
        <w:t xml:space="preserve"> </w:t>
      </w:r>
      <w:r>
        <w:t>about electrolyte drinks and electrolyte drink bases</w:t>
      </w:r>
    </w:p>
    <w:p w14:paraId="6E978EF0" w14:textId="77777777" w:rsidR="0002640D" w:rsidRPr="00BF58D3" w:rsidRDefault="0002640D" w:rsidP="0002640D">
      <w:pPr>
        <w:pStyle w:val="FSCtMain"/>
        <w:tabs>
          <w:tab w:val="clear" w:pos="1134"/>
          <w:tab w:val="left" w:pos="709"/>
        </w:tabs>
        <w:ind w:hanging="850"/>
        <w:rPr>
          <w:sz w:val="18"/>
          <w:szCs w:val="18"/>
        </w:rPr>
      </w:pPr>
      <w:r>
        <w:t>(1)</w:t>
      </w:r>
      <w:r>
        <w:tab/>
        <w:t>Standard 1.2.7 does not apply to a *health claim made about an electrolyte drink or electrolyte drink base.</w:t>
      </w:r>
      <w:r w:rsidRPr="00BF58D3">
        <w:rPr>
          <w:sz w:val="18"/>
          <w:szCs w:val="18"/>
        </w:rPr>
        <w:tab/>
      </w:r>
    </w:p>
    <w:p w14:paraId="47537770" w14:textId="77777777" w:rsidR="0002640D" w:rsidRDefault="0002640D" w:rsidP="0002640D">
      <w:pPr>
        <w:pStyle w:val="FSCtMain"/>
        <w:tabs>
          <w:tab w:val="clear" w:pos="1134"/>
          <w:tab w:val="left" w:pos="851"/>
        </w:tabs>
        <w:ind w:hanging="850"/>
      </w:pPr>
      <w:r w:rsidRPr="00BF58D3">
        <w:t>(2)</w:t>
      </w:r>
      <w:r>
        <w:rPr>
          <w:b/>
          <w:i/>
        </w:rPr>
        <w:tab/>
      </w:r>
      <w:r>
        <w:tab/>
        <w:t>A *health claim must not be made about an electrolyte drink or electrolyte drink base unless:</w:t>
      </w:r>
    </w:p>
    <w:p w14:paraId="6819CD0A" w14:textId="77777777" w:rsidR="0002640D" w:rsidRDefault="0002640D" w:rsidP="0002640D">
      <w:pPr>
        <w:pStyle w:val="FSCtPara"/>
      </w:pPr>
      <w:r>
        <w:tab/>
        <w:t>(a)</w:t>
      </w:r>
      <w:r>
        <w:tab/>
        <w:t xml:space="preserve">the food </w:t>
      </w:r>
      <w:r w:rsidRPr="000C4833">
        <w:t>has an average osmolality of 2</w:t>
      </w:r>
      <w:r>
        <w:t>0</w:t>
      </w:r>
      <w:r w:rsidRPr="000C4833">
        <w:t>0–340 mOsmol/</w:t>
      </w:r>
      <w:r>
        <w:t>kg; and</w:t>
      </w:r>
    </w:p>
    <w:p w14:paraId="40DBF22B" w14:textId="77777777" w:rsidR="0002640D" w:rsidRDefault="0002640D" w:rsidP="0002640D">
      <w:pPr>
        <w:pStyle w:val="FSCtPara"/>
      </w:pPr>
      <w:r>
        <w:tab/>
        <w:t>(b)</w:t>
      </w:r>
      <w:r>
        <w:tab/>
        <w:t>the claim is about any of the following:</w:t>
      </w:r>
    </w:p>
    <w:p w14:paraId="50E626EC" w14:textId="77777777" w:rsidR="0002640D" w:rsidRDefault="0002640D" w:rsidP="0002640D">
      <w:pPr>
        <w:pStyle w:val="FSCtSubpara"/>
      </w:pPr>
      <w:r>
        <w:tab/>
        <w:t>(i)</w:t>
      </w:r>
      <w:r>
        <w:tab/>
      </w:r>
      <w:r w:rsidRPr="00D90E8D">
        <w:t>rapid rehydrat</w:t>
      </w:r>
      <w:r>
        <w:t>ion</w:t>
      </w:r>
      <w:r w:rsidRPr="00D90E8D">
        <w:t xml:space="preserve"> in association with </w:t>
      </w:r>
      <w:r>
        <w:t>words to the effect of ‘</w:t>
      </w:r>
      <w:r w:rsidRPr="00D90E8D">
        <w:t>after at least 60 minutes or more of strenuous physical activity</w:t>
      </w:r>
      <w:r>
        <w:t>’;</w:t>
      </w:r>
    </w:p>
    <w:p w14:paraId="28701AA1" w14:textId="77777777" w:rsidR="0002640D" w:rsidRDefault="0002640D" w:rsidP="0002640D">
      <w:pPr>
        <w:pStyle w:val="FSCtSubpara"/>
      </w:pPr>
      <w:r>
        <w:tab/>
        <w:t>(ii)</w:t>
      </w:r>
      <w:r>
        <w:tab/>
        <w:t>rapid</w:t>
      </w:r>
      <w:r w:rsidRPr="00D90E8D">
        <w:t xml:space="preserve"> hydrat</w:t>
      </w:r>
      <w:r>
        <w:t>ion</w:t>
      </w:r>
      <w:r w:rsidRPr="00D90E8D">
        <w:t xml:space="preserve"> in association with</w:t>
      </w:r>
      <w:r>
        <w:t xml:space="preserve"> words to the effect of ‘</w:t>
      </w:r>
      <w:r w:rsidRPr="00D90E8D">
        <w:t>during at least 60 minutes or more of strenuous physical activity</w:t>
      </w:r>
      <w:r>
        <w:t>’;</w:t>
      </w:r>
    </w:p>
    <w:p w14:paraId="6FBA65BB" w14:textId="77777777" w:rsidR="0002640D" w:rsidRDefault="0002640D" w:rsidP="0002640D">
      <w:pPr>
        <w:pStyle w:val="FSCtSubpara"/>
      </w:pPr>
      <w:r>
        <w:tab/>
        <w:t>(iii)</w:t>
      </w:r>
      <w:r>
        <w:tab/>
      </w:r>
      <w:r w:rsidRPr="00D90E8D">
        <w:t>contribut</w:t>
      </w:r>
      <w:r>
        <w:t>ion</w:t>
      </w:r>
      <w:r w:rsidRPr="00D90E8D">
        <w:t xml:space="preserve"> to the maintenance of performance </w:t>
      </w:r>
      <w:r>
        <w:t xml:space="preserve">by </w:t>
      </w:r>
      <w:r w:rsidRPr="00D90E8D">
        <w:t xml:space="preserve">rapid hydration in association with </w:t>
      </w:r>
      <w:r>
        <w:t>words to the effect of ‘</w:t>
      </w:r>
      <w:r w:rsidRPr="00D90E8D">
        <w:t>during at least 60 minutes or more of strenuous physical activity</w:t>
      </w:r>
      <w:r>
        <w:t>’.</w:t>
      </w:r>
    </w:p>
    <w:p w14:paraId="5CDDAF91" w14:textId="77777777" w:rsidR="0002640D" w:rsidRDefault="0002640D" w:rsidP="0002640D">
      <w:pPr>
        <w:pStyle w:val="FSCtMain"/>
        <w:tabs>
          <w:tab w:val="clear" w:pos="1134"/>
          <w:tab w:val="left" w:pos="709"/>
        </w:tabs>
        <w:ind w:hanging="850"/>
      </w:pPr>
      <w:r>
        <w:t xml:space="preserve"> (3)</w:t>
      </w:r>
      <w:r>
        <w:tab/>
        <w:t xml:space="preserve">In a *health claim made under subsection (2), the amount of time must be expressed only as a quantifiable </w:t>
      </w:r>
      <w:r w:rsidRPr="00056539">
        <w:t>amount</w:t>
      </w:r>
      <w:r>
        <w:t xml:space="preserve"> of time.</w:t>
      </w:r>
    </w:p>
    <w:p w14:paraId="3FA53899" w14:textId="77777777" w:rsidR="0002640D" w:rsidRDefault="0002640D" w:rsidP="0002640D">
      <w:pPr>
        <w:pStyle w:val="FSCnMain"/>
        <w:ind w:left="1701"/>
      </w:pPr>
      <w:r>
        <w:tab/>
      </w:r>
      <w:r>
        <w:tab/>
      </w:r>
      <w:r w:rsidRPr="00917FEF">
        <w:rPr>
          <w:b/>
          <w:i/>
        </w:rPr>
        <w:t>Examples:</w:t>
      </w:r>
      <w:r>
        <w:t xml:space="preserve"> ’60 minutes’ or ’sixty minutes’; ‘1 hour’ or ‘one hour’.</w:t>
      </w:r>
    </w:p>
    <w:p w14:paraId="40792724" w14:textId="77777777" w:rsidR="0002640D" w:rsidRDefault="0002640D" w:rsidP="0002640D">
      <w:pPr>
        <w:pStyle w:val="FSCtMain"/>
        <w:tabs>
          <w:tab w:val="clear" w:pos="1134"/>
          <w:tab w:val="left" w:pos="851"/>
        </w:tabs>
      </w:pPr>
      <w:r>
        <w:tab/>
        <w:t>(4)</w:t>
      </w:r>
      <w:r>
        <w:tab/>
      </w:r>
      <w:r>
        <w:tab/>
        <w:t>Subject to subsection (3), n</w:t>
      </w:r>
      <w:r w:rsidRPr="00E65557">
        <w:t xml:space="preserve">othing in this </w:t>
      </w:r>
      <w:r>
        <w:t xml:space="preserve">section </w:t>
      </w:r>
      <w:r w:rsidRPr="00E65557">
        <w:t xml:space="preserve">is to be taken to prescribe the words that must be used when making a </w:t>
      </w:r>
      <w:r>
        <w:t>*health claim under this section</w:t>
      </w:r>
      <w:r w:rsidRPr="00E65557">
        <w:t>.</w:t>
      </w:r>
    </w:p>
    <w:p w14:paraId="02DF5697" w14:textId="77777777" w:rsidR="0002640D" w:rsidRDefault="0002640D" w:rsidP="0002640D">
      <w:pPr>
        <w:pStyle w:val="FSCnMain"/>
        <w:ind w:left="1701"/>
      </w:pPr>
      <w:r>
        <w:tab/>
      </w:r>
      <w:r w:rsidRPr="00BC67F6">
        <w:rPr>
          <w:b/>
          <w:i/>
        </w:rPr>
        <w:tab/>
        <w:t>Example:</w:t>
      </w:r>
      <w:r>
        <w:t xml:space="preserve"> </w:t>
      </w:r>
      <w:r w:rsidRPr="00E65557">
        <w:t>‘exercise’</w:t>
      </w:r>
      <w:r>
        <w:t xml:space="preserve"> instead of ‘physical activity’.</w:t>
      </w:r>
    </w:p>
    <w:p w14:paraId="4D098F69" w14:textId="77777777" w:rsidR="0002640D" w:rsidRDefault="0002640D" w:rsidP="0002640D">
      <w:pPr>
        <w:pStyle w:val="FSCh5Section"/>
      </w:pPr>
      <w:r w:rsidRPr="0029526B">
        <w:t>2.6.2—</w:t>
      </w:r>
      <w:r>
        <w:t>17</w:t>
      </w:r>
      <w:r>
        <w:tab/>
        <w:t xml:space="preserve">Claims </w:t>
      </w:r>
      <w:r w:rsidRPr="005D4BF7">
        <w:t>in relation to the tonicity of electrolyte drinks</w:t>
      </w:r>
    </w:p>
    <w:p w14:paraId="02CF7D9A" w14:textId="77777777" w:rsidR="0002640D" w:rsidRPr="00CB6CD8" w:rsidRDefault="0002640D" w:rsidP="0002640D">
      <w:pPr>
        <w:pStyle w:val="FSCtMain"/>
        <w:ind w:hanging="850"/>
        <w:rPr>
          <w:lang w:bidi="en-US"/>
        </w:rPr>
      </w:pPr>
      <w:r w:rsidRPr="00CB6CD8">
        <w:rPr>
          <w:lang w:bidi="en-US"/>
        </w:rPr>
        <w:t>(1)</w:t>
      </w:r>
      <w:r w:rsidRPr="00CB6CD8">
        <w:rPr>
          <w:lang w:bidi="en-US"/>
        </w:rPr>
        <w:tab/>
      </w:r>
      <w:r>
        <w:rPr>
          <w:lang w:bidi="en-US"/>
        </w:rPr>
        <w:tab/>
      </w:r>
      <w:r w:rsidRPr="00CB6CD8">
        <w:rPr>
          <w:lang w:bidi="en-US"/>
        </w:rPr>
        <w:t xml:space="preserve">A claim that an electrolyte drink is isotonic may only be made if the electrolyte drink </w:t>
      </w:r>
      <w:r w:rsidRPr="00CB6CD8">
        <w:rPr>
          <w:lang w:bidi="en-US"/>
        </w:rPr>
        <w:lastRenderedPageBreak/>
        <w:t>has an average osmolality of 250–340 mOsmol/</w:t>
      </w:r>
      <w:r>
        <w:rPr>
          <w:lang w:bidi="en-US"/>
        </w:rPr>
        <w:t>kg</w:t>
      </w:r>
      <w:r w:rsidRPr="00CB6CD8">
        <w:rPr>
          <w:lang w:bidi="en-US"/>
        </w:rPr>
        <w:t>.</w:t>
      </w:r>
    </w:p>
    <w:p w14:paraId="6D1227E0" w14:textId="77777777" w:rsidR="0002640D" w:rsidRDefault="0002640D" w:rsidP="0002640D">
      <w:pPr>
        <w:pStyle w:val="FSCtMain"/>
        <w:tabs>
          <w:tab w:val="clear" w:pos="1134"/>
          <w:tab w:val="left" w:pos="851"/>
        </w:tabs>
        <w:ind w:hanging="850"/>
        <w:rPr>
          <w:lang w:bidi="en-US"/>
        </w:rPr>
      </w:pPr>
      <w:r>
        <w:rPr>
          <w:lang w:bidi="en-US"/>
        </w:rPr>
        <w:t>(2)</w:t>
      </w:r>
      <w:r>
        <w:rPr>
          <w:lang w:bidi="en-US"/>
        </w:rPr>
        <w:tab/>
        <w:t xml:space="preserve">For the labelling provisions, for </w:t>
      </w:r>
      <w:r w:rsidRPr="00CB6CD8">
        <w:rPr>
          <w:lang w:bidi="en-US"/>
        </w:rPr>
        <w:t xml:space="preserve">an electrolyte drink </w:t>
      </w:r>
      <w:r>
        <w:rPr>
          <w:lang w:bidi="en-US"/>
        </w:rPr>
        <w:t>about which a</w:t>
      </w:r>
      <w:r w:rsidRPr="00CB6CD8">
        <w:rPr>
          <w:lang w:bidi="en-US"/>
        </w:rPr>
        <w:t xml:space="preserve"> claim is made </w:t>
      </w:r>
      <w:r>
        <w:rPr>
          <w:lang w:bidi="en-US"/>
        </w:rPr>
        <w:t>that the drink is</w:t>
      </w:r>
      <w:r w:rsidRPr="00CB6CD8">
        <w:rPr>
          <w:lang w:bidi="en-US"/>
        </w:rPr>
        <w:t xml:space="preserve"> isotonic, hypertonic or hypotonic, </w:t>
      </w:r>
      <w:r>
        <w:rPr>
          <w:szCs w:val="20"/>
        </w:rPr>
        <w:t>the following information is required</w:t>
      </w:r>
      <w:r w:rsidRPr="0029526B">
        <w:t>—</w:t>
      </w:r>
      <w:r>
        <w:rPr>
          <w:lang w:bidi="en-US"/>
        </w:rPr>
        <w:t>a declaration of the</w:t>
      </w:r>
      <w:r w:rsidRPr="00CB6CD8">
        <w:rPr>
          <w:lang w:bidi="en-US"/>
        </w:rPr>
        <w:t xml:space="preserve"> osmolality of the electrolyte drink</w:t>
      </w:r>
      <w:r>
        <w:rPr>
          <w:lang w:bidi="en-US"/>
        </w:rPr>
        <w:t>,</w:t>
      </w:r>
      <w:r w:rsidRPr="00CB6CD8">
        <w:rPr>
          <w:lang w:bidi="en-US"/>
        </w:rPr>
        <w:t xml:space="preserve"> </w:t>
      </w:r>
      <w:r>
        <w:t>expressed in mOsm/</w:t>
      </w:r>
      <w:r>
        <w:rPr>
          <w:lang w:bidi="en-US"/>
        </w:rPr>
        <w:t>L.</w:t>
      </w:r>
    </w:p>
    <w:p w14:paraId="6C90BFA6" w14:textId="77777777" w:rsidR="0002640D" w:rsidRPr="00797A71" w:rsidRDefault="0002640D" w:rsidP="0002640D">
      <w:pPr>
        <w:pStyle w:val="FSCnMain"/>
        <w:rPr>
          <w:szCs w:val="16"/>
        </w:rPr>
      </w:pPr>
      <w:r w:rsidRPr="00797A71">
        <w:rPr>
          <w:szCs w:val="16"/>
        </w:rPr>
        <w:tab/>
      </w:r>
      <w:r w:rsidRPr="00797A71">
        <w:rPr>
          <w:b/>
          <w:i/>
          <w:szCs w:val="16"/>
        </w:rPr>
        <w:t>Note:</w:t>
      </w:r>
      <w:r w:rsidRPr="00797A71">
        <w:rPr>
          <w:szCs w:val="16"/>
        </w:rPr>
        <w:tab/>
        <w:t xml:space="preserve"> The labelling provisions are set out in Standard 1.2.1.</w:t>
      </w:r>
    </w:p>
    <w:p w14:paraId="08153D37" w14:textId="77777777" w:rsidR="0002640D" w:rsidRPr="00E4598C" w:rsidRDefault="0002640D" w:rsidP="0002640D">
      <w:pPr>
        <w:pStyle w:val="FSCh5Section"/>
      </w:pPr>
      <w:r w:rsidRPr="00E4598C">
        <w:t>2.6.2—18</w:t>
      </w:r>
      <w:r w:rsidRPr="00E4598C">
        <w:tab/>
        <w:t>Claims in relation to sodium in electrolyte drinks and electrolyte drink bases</w:t>
      </w:r>
    </w:p>
    <w:p w14:paraId="31DA2ED7" w14:textId="77777777" w:rsidR="0002640D" w:rsidRPr="00E4598C" w:rsidRDefault="0002640D" w:rsidP="0002640D">
      <w:pPr>
        <w:pStyle w:val="FSCtMain"/>
      </w:pPr>
      <w:r w:rsidRPr="00E4598C">
        <w:tab/>
      </w:r>
      <w:r w:rsidRPr="00E4598C">
        <w:tab/>
        <w:t xml:space="preserve">Subsection 1.2.8—6(12) does not apply to a *claim requiring nutrition information that is </w:t>
      </w:r>
      <w:r w:rsidRPr="00E4598C">
        <w:rPr>
          <w:lang w:val="en-AU"/>
        </w:rPr>
        <w:t xml:space="preserve">made in relation to salt or sodium in </w:t>
      </w:r>
      <w:r w:rsidRPr="00E4598C">
        <w:t>an electrolyte drink or electrolyte drink base</w:t>
      </w:r>
      <w:r w:rsidRPr="00E4598C">
        <w:rPr>
          <w:lang w:val="en-AU"/>
        </w:rPr>
        <w:t>.</w:t>
      </w:r>
    </w:p>
    <w:p w14:paraId="1A43A900" w14:textId="77777777" w:rsidR="0002640D" w:rsidRPr="00E4598C" w:rsidRDefault="0002640D" w:rsidP="0002640D">
      <w:pPr>
        <w:pStyle w:val="FSCnMain"/>
        <w:ind w:hanging="2835"/>
      </w:pPr>
      <w:r w:rsidRPr="00E4598C">
        <w:tab/>
      </w:r>
      <w:r w:rsidRPr="00E4598C">
        <w:rPr>
          <w:b/>
          <w:i/>
        </w:rPr>
        <w:t>Note:</w:t>
      </w:r>
      <w:r w:rsidRPr="00E4598C">
        <w:t xml:space="preserve"> </w:t>
      </w:r>
      <w:r w:rsidRPr="00E4598C">
        <w:tab/>
        <w:t xml:space="preserve">Subsection 1.2.8—6(12) </w:t>
      </w:r>
      <w:r w:rsidRPr="00E4598C">
        <w:rPr>
          <w:lang w:val="en-AU"/>
        </w:rPr>
        <w:t>provides that, if a claim requiring nutrition information is made in relation to salt or sodium in a food product, the nutrition information panel for that product must include a declaration of the average quantity of potassium in accordance with section S12—3</w:t>
      </w:r>
      <w:r w:rsidRPr="00E4598C">
        <w:t>.</w:t>
      </w:r>
    </w:p>
    <w:p w14:paraId="30B73600" w14:textId="77777777" w:rsidR="0002640D" w:rsidRDefault="0002640D" w:rsidP="0002640D">
      <w:pPr>
        <w:pStyle w:val="FSCtMain"/>
        <w:ind w:left="0" w:firstLine="0"/>
      </w:pPr>
    </w:p>
    <w:p w14:paraId="7F9F5F09" w14:textId="77777777" w:rsidR="0002640D" w:rsidRDefault="0002640D" w:rsidP="0002640D">
      <w:pPr>
        <w:pStyle w:val="FSCtMain"/>
        <w:ind w:left="0" w:firstLine="0"/>
      </w:pPr>
    </w:p>
    <w:p w14:paraId="200DCF96" w14:textId="77777777" w:rsidR="0002640D" w:rsidRDefault="0002640D" w:rsidP="0002640D">
      <w:pPr>
        <w:pStyle w:val="FSCtMain"/>
        <w:ind w:left="0" w:firstLine="0"/>
      </w:pPr>
    </w:p>
    <w:p w14:paraId="4CE175F3" w14:textId="77777777" w:rsidR="0002640D" w:rsidRDefault="0002640D" w:rsidP="0002640D">
      <w:pPr>
        <w:pStyle w:val="FSCtMain"/>
        <w:ind w:left="0" w:firstLine="0"/>
      </w:pPr>
    </w:p>
    <w:p w14:paraId="0076B78F" w14:textId="77777777" w:rsidR="0002640D" w:rsidRDefault="0002640D" w:rsidP="0002640D">
      <w:pPr>
        <w:pStyle w:val="FSCtMain"/>
        <w:ind w:left="0" w:firstLine="0"/>
        <w:rPr>
          <w:rFonts w:eastAsia="Calibri" w:cs="Times New Roman"/>
          <w:iCs w:val="0"/>
          <w:sz w:val="22"/>
          <w:lang w:eastAsia="en-US"/>
        </w:rPr>
      </w:pPr>
    </w:p>
    <w:p w14:paraId="656C98FA" w14:textId="77777777" w:rsidR="0002640D" w:rsidRPr="001A1C59" w:rsidRDefault="0002640D" w:rsidP="0002640D">
      <w:pPr>
        <w:rPr>
          <w:lang w:bidi="ar-SA"/>
        </w:rPr>
      </w:pPr>
    </w:p>
    <w:p w14:paraId="12359939" w14:textId="77777777" w:rsidR="0002640D" w:rsidRDefault="0002640D" w:rsidP="0002640D">
      <w:pPr>
        <w:rPr>
          <w:rFonts w:cs="Arial"/>
          <w:sz w:val="28"/>
          <w:szCs w:val="22"/>
          <w:lang w:bidi="ar-SA"/>
        </w:rPr>
      </w:pPr>
      <w:r>
        <w:br w:type="page"/>
      </w:r>
    </w:p>
    <w:p w14:paraId="7057A716" w14:textId="7C7F386E" w:rsidR="0002640D" w:rsidRPr="0002640D" w:rsidRDefault="0002640D" w:rsidP="0002640D">
      <w:pPr>
        <w:pStyle w:val="Heading2"/>
        <w:ind w:left="0" w:firstLine="0"/>
      </w:pPr>
      <w:bookmarkStart w:id="252" w:name="_Toc100829789"/>
      <w:bookmarkStart w:id="253" w:name="_Toc103090830"/>
      <w:bookmarkStart w:id="254" w:name="_Toc103197724"/>
      <w:r w:rsidRPr="0002640D">
        <w:lastRenderedPageBreak/>
        <w:t xml:space="preserve">Attachment D – Draft variation to the </w:t>
      </w:r>
      <w:r w:rsidRPr="0002640D">
        <w:rPr>
          <w:i/>
        </w:rPr>
        <w:t xml:space="preserve">Australia New Zealand Food Standards Code </w:t>
      </w:r>
      <w:r w:rsidRPr="0002640D">
        <w:t>(call for submissions)</w:t>
      </w:r>
      <w:bookmarkEnd w:id="232"/>
      <w:bookmarkEnd w:id="233"/>
      <w:bookmarkEnd w:id="234"/>
      <w:bookmarkEnd w:id="235"/>
      <w:bookmarkEnd w:id="236"/>
      <w:bookmarkEnd w:id="237"/>
      <w:bookmarkEnd w:id="238"/>
      <w:bookmarkEnd w:id="252"/>
      <w:bookmarkEnd w:id="253"/>
      <w:bookmarkEnd w:id="254"/>
    </w:p>
    <w:p w14:paraId="6DB1DF97" w14:textId="77777777" w:rsidR="0002640D" w:rsidRPr="00C0014E" w:rsidRDefault="0002640D" w:rsidP="0002640D">
      <w:pPr>
        <w:widowControl/>
        <w:rPr>
          <w:noProof/>
          <w:sz w:val="20"/>
          <w:lang w:val="en-AU" w:eastAsia="en-AU"/>
        </w:rPr>
      </w:pPr>
      <w:r w:rsidRPr="00C0014E">
        <w:rPr>
          <w:noProof/>
          <w:sz w:val="20"/>
          <w:lang w:eastAsia="en-GB" w:bidi="ar-SA"/>
        </w:rPr>
        <w:drawing>
          <wp:inline distT="0" distB="0" distL="0" distR="0" wp14:anchorId="26C0EB0E" wp14:editId="52063FCB">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BDB9392" w14:textId="77777777" w:rsidR="0002640D" w:rsidRPr="006153A1" w:rsidRDefault="0002640D" w:rsidP="0002640D">
      <w:pPr>
        <w:pStyle w:val="Subclause"/>
      </w:pPr>
    </w:p>
    <w:p w14:paraId="11B941A7" w14:textId="77777777" w:rsidR="0002640D" w:rsidRDefault="0002640D" w:rsidP="0002640D">
      <w:pPr>
        <w:widowControl/>
        <w:pBdr>
          <w:bottom w:val="single" w:sz="4" w:space="1" w:color="auto"/>
        </w:pBdr>
        <w:rPr>
          <w:b/>
          <w:sz w:val="20"/>
        </w:rPr>
      </w:pPr>
      <w:r w:rsidRPr="006153A1">
        <w:rPr>
          <w:b/>
          <w:sz w:val="20"/>
        </w:rPr>
        <w:t>Food Standards (</w:t>
      </w:r>
      <w:r w:rsidRPr="00F618DF">
        <w:rPr>
          <w:b/>
          <w:sz w:val="20"/>
        </w:rPr>
        <w:t>Proposal P</w:t>
      </w:r>
      <w:r>
        <w:rPr>
          <w:b/>
          <w:sz w:val="20"/>
        </w:rPr>
        <w:t>1030</w:t>
      </w:r>
      <w:r w:rsidRPr="00F618DF">
        <w:rPr>
          <w:b/>
          <w:sz w:val="20"/>
        </w:rPr>
        <w:t xml:space="preserve"> </w:t>
      </w:r>
      <w:r w:rsidRPr="00A32232">
        <w:rPr>
          <w:b/>
          <w:sz w:val="20"/>
        </w:rPr>
        <w:t xml:space="preserve">– </w:t>
      </w:r>
      <w:r>
        <w:rPr>
          <w:b/>
          <w:sz w:val="20"/>
        </w:rPr>
        <w:t>Health Claims – Formulated Supplementary Sports Foods &amp; Electrolyte Drinks)</w:t>
      </w:r>
      <w:r w:rsidRPr="00C0014E">
        <w:rPr>
          <w:b/>
          <w:sz w:val="20"/>
        </w:rPr>
        <w:t xml:space="preserve"> Variation</w:t>
      </w:r>
    </w:p>
    <w:p w14:paraId="0B184F94" w14:textId="77777777" w:rsidR="0002640D" w:rsidRPr="00C0014E" w:rsidRDefault="0002640D" w:rsidP="0002640D">
      <w:pPr>
        <w:widowControl/>
        <w:pBdr>
          <w:bottom w:val="single" w:sz="4" w:space="1" w:color="auto"/>
        </w:pBdr>
        <w:rPr>
          <w:b/>
          <w:sz w:val="20"/>
        </w:rPr>
      </w:pPr>
    </w:p>
    <w:p w14:paraId="3EB1A52D" w14:textId="77777777" w:rsidR="0002640D" w:rsidRPr="008F2616" w:rsidRDefault="0002640D" w:rsidP="0002640D">
      <w:pPr>
        <w:widowControl/>
        <w:rPr>
          <w:sz w:val="20"/>
        </w:rPr>
      </w:pPr>
    </w:p>
    <w:p w14:paraId="401A82F8" w14:textId="77777777" w:rsidR="0002640D" w:rsidRPr="008F2616" w:rsidRDefault="0002640D" w:rsidP="0002640D">
      <w:pPr>
        <w:widowControl/>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14:paraId="541F32D8" w14:textId="77777777" w:rsidR="0002640D" w:rsidRPr="008F2616" w:rsidRDefault="0002640D" w:rsidP="0002640D">
      <w:pPr>
        <w:widowControl/>
        <w:rPr>
          <w:sz w:val="20"/>
        </w:rPr>
      </w:pPr>
    </w:p>
    <w:p w14:paraId="4BEE5EA3" w14:textId="77777777" w:rsidR="0002640D" w:rsidRPr="008F2616" w:rsidRDefault="0002640D" w:rsidP="0002640D">
      <w:pPr>
        <w:widowControl/>
        <w:rPr>
          <w:sz w:val="20"/>
        </w:rPr>
      </w:pPr>
      <w:r w:rsidRPr="008F2616">
        <w:rPr>
          <w:sz w:val="20"/>
        </w:rPr>
        <w:t xml:space="preserve">Dated </w:t>
      </w:r>
      <w:r>
        <w:rPr>
          <w:sz w:val="20"/>
        </w:rPr>
        <w:t>[To be completed by Standards Management Officer]</w:t>
      </w:r>
    </w:p>
    <w:p w14:paraId="12B168B6" w14:textId="77777777" w:rsidR="0002640D" w:rsidRPr="008F2616" w:rsidRDefault="0002640D" w:rsidP="0002640D">
      <w:pPr>
        <w:widowControl/>
        <w:rPr>
          <w:sz w:val="20"/>
        </w:rPr>
      </w:pPr>
    </w:p>
    <w:p w14:paraId="3B0ACB42" w14:textId="77777777" w:rsidR="0002640D" w:rsidRDefault="0002640D" w:rsidP="0002640D">
      <w:pPr>
        <w:widowControl/>
        <w:rPr>
          <w:sz w:val="20"/>
        </w:rPr>
      </w:pPr>
    </w:p>
    <w:p w14:paraId="28248536" w14:textId="77777777" w:rsidR="0002640D" w:rsidRDefault="0002640D" w:rsidP="0002640D">
      <w:pPr>
        <w:widowControl/>
        <w:rPr>
          <w:sz w:val="20"/>
        </w:rPr>
      </w:pPr>
    </w:p>
    <w:p w14:paraId="1C17211E" w14:textId="77777777" w:rsidR="0002640D" w:rsidRPr="008F2616" w:rsidRDefault="0002640D" w:rsidP="0002640D">
      <w:pPr>
        <w:widowControl/>
        <w:rPr>
          <w:sz w:val="20"/>
        </w:rPr>
      </w:pPr>
    </w:p>
    <w:p w14:paraId="3E5E2DBA" w14:textId="77777777" w:rsidR="0002640D" w:rsidRPr="008F2616" w:rsidRDefault="0002640D" w:rsidP="0002640D">
      <w:pPr>
        <w:widowControl/>
        <w:rPr>
          <w:sz w:val="20"/>
        </w:rPr>
      </w:pPr>
    </w:p>
    <w:p w14:paraId="3E0D0A64" w14:textId="77777777" w:rsidR="0002640D" w:rsidRPr="008F2616" w:rsidRDefault="0002640D" w:rsidP="0002640D">
      <w:pPr>
        <w:widowControl/>
        <w:rPr>
          <w:sz w:val="20"/>
        </w:rPr>
      </w:pPr>
      <w:r w:rsidRPr="008F2616">
        <w:rPr>
          <w:sz w:val="20"/>
        </w:rPr>
        <w:t>Standards Management Officer</w:t>
      </w:r>
    </w:p>
    <w:p w14:paraId="155485A8" w14:textId="77777777" w:rsidR="0002640D" w:rsidRPr="008F2616" w:rsidRDefault="0002640D" w:rsidP="0002640D">
      <w:pPr>
        <w:widowControl/>
        <w:rPr>
          <w:sz w:val="20"/>
        </w:rPr>
      </w:pPr>
      <w:r w:rsidRPr="008F2616">
        <w:rPr>
          <w:sz w:val="20"/>
        </w:rPr>
        <w:t>Delegate of the Board of Food Standards Australia New Zealand</w:t>
      </w:r>
    </w:p>
    <w:p w14:paraId="66984403" w14:textId="77777777" w:rsidR="0002640D" w:rsidRDefault="0002640D" w:rsidP="0002640D">
      <w:pPr>
        <w:widowControl/>
        <w:rPr>
          <w:sz w:val="20"/>
        </w:rPr>
      </w:pPr>
    </w:p>
    <w:p w14:paraId="7A7619F4" w14:textId="77777777" w:rsidR="0002640D" w:rsidRDefault="0002640D" w:rsidP="0002640D">
      <w:pPr>
        <w:widowControl/>
        <w:rPr>
          <w:sz w:val="20"/>
        </w:rPr>
      </w:pPr>
    </w:p>
    <w:p w14:paraId="1FCE90F1" w14:textId="77777777" w:rsidR="0002640D" w:rsidRDefault="0002640D" w:rsidP="0002640D">
      <w:pPr>
        <w:widowControl/>
        <w:rPr>
          <w:sz w:val="20"/>
        </w:rPr>
      </w:pPr>
    </w:p>
    <w:p w14:paraId="529B2539" w14:textId="77777777" w:rsidR="0002640D" w:rsidRDefault="0002640D" w:rsidP="0002640D">
      <w:pPr>
        <w:widowControl/>
        <w:rPr>
          <w:sz w:val="20"/>
        </w:rPr>
      </w:pPr>
    </w:p>
    <w:p w14:paraId="24EFD3F9" w14:textId="77777777" w:rsidR="0002640D" w:rsidRDefault="0002640D" w:rsidP="0002640D">
      <w:pPr>
        <w:widowControl/>
        <w:rPr>
          <w:sz w:val="20"/>
        </w:rPr>
      </w:pPr>
    </w:p>
    <w:p w14:paraId="1FA3D040" w14:textId="77777777" w:rsidR="0002640D" w:rsidRPr="00574DE1" w:rsidRDefault="0002640D" w:rsidP="0002640D">
      <w:pPr>
        <w:pStyle w:val="EditorialNoteLine1"/>
        <w:widowControl/>
        <w:rPr>
          <w:lang w:val="en-AU"/>
        </w:rPr>
      </w:pPr>
      <w:r w:rsidRPr="00574DE1">
        <w:rPr>
          <w:lang w:val="en-AU"/>
        </w:rPr>
        <w:t xml:space="preserve">Note:  </w:t>
      </w:r>
    </w:p>
    <w:p w14:paraId="6A78E417" w14:textId="77777777" w:rsidR="0002640D" w:rsidRPr="00574DE1" w:rsidRDefault="0002640D" w:rsidP="0002640D">
      <w:pPr>
        <w:pStyle w:val="EditorialNotetext"/>
        <w:widowControl/>
        <w:rPr>
          <w:lang w:val="en-AU"/>
        </w:rPr>
      </w:pPr>
    </w:p>
    <w:p w14:paraId="3AD33314" w14:textId="77777777" w:rsidR="0002640D" w:rsidRDefault="0002640D" w:rsidP="0002640D">
      <w:pPr>
        <w:pStyle w:val="EditorialNotetext"/>
        <w:widowControl/>
        <w:rPr>
          <w:lang w:val="en-AU"/>
        </w:rPr>
      </w:pPr>
      <w:r w:rsidRPr="00574DE1">
        <w:rPr>
          <w:lang w:val="en-AU"/>
        </w:rPr>
        <w:t xml:space="preserve">This variation will be published in the Commonwealth of Australia Gazette No. FSC </w:t>
      </w:r>
      <w:r w:rsidRPr="00574DE1">
        <w:rPr>
          <w:color w:val="FF0000"/>
          <w:lang w:val="en-AU"/>
        </w:rPr>
        <w:t>XX on XX Month 20XX</w:t>
      </w:r>
      <w:r w:rsidRPr="00574DE1">
        <w:rPr>
          <w:lang w:val="en-AU"/>
        </w:rPr>
        <w:t>. This means that this date is the gazettal date for the purposes of clause 3 of the variation.</w:t>
      </w:r>
      <w:r>
        <w:rPr>
          <w:lang w:val="en-AU"/>
        </w:rPr>
        <w:t xml:space="preserve"> </w:t>
      </w:r>
    </w:p>
    <w:p w14:paraId="535B4F3F" w14:textId="77777777" w:rsidR="0002640D" w:rsidRDefault="0002640D" w:rsidP="0002640D">
      <w:pPr>
        <w:widowControl/>
        <w:rPr>
          <w:sz w:val="20"/>
        </w:rPr>
      </w:pPr>
    </w:p>
    <w:p w14:paraId="70FBFA93" w14:textId="77777777" w:rsidR="0002640D" w:rsidRDefault="0002640D" w:rsidP="0002640D">
      <w:pPr>
        <w:widowControl/>
        <w:rPr>
          <w:sz w:val="20"/>
        </w:rPr>
      </w:pPr>
      <w:r>
        <w:rPr>
          <w:sz w:val="20"/>
        </w:rPr>
        <w:br w:type="page"/>
      </w:r>
    </w:p>
    <w:p w14:paraId="0DC8DFAD" w14:textId="77777777" w:rsidR="0002640D" w:rsidRDefault="0002640D" w:rsidP="0002640D">
      <w:pPr>
        <w:pStyle w:val="Clauseheading"/>
        <w:widowControl/>
      </w:pPr>
      <w:r>
        <w:lastRenderedPageBreak/>
        <w:t>1</w:t>
      </w:r>
      <w:r>
        <w:tab/>
        <w:t>Name</w:t>
      </w:r>
    </w:p>
    <w:p w14:paraId="6E39B681" w14:textId="77777777" w:rsidR="0002640D" w:rsidRDefault="0002640D" w:rsidP="0002640D">
      <w:pPr>
        <w:pStyle w:val="Clause"/>
        <w:widowControl/>
      </w:pPr>
    </w:p>
    <w:p w14:paraId="371B57B8" w14:textId="77777777" w:rsidR="0002640D" w:rsidRPr="00F618DF" w:rsidRDefault="0002640D" w:rsidP="0002640D">
      <w:pPr>
        <w:pStyle w:val="Clause"/>
        <w:widowControl/>
      </w:pPr>
      <w:r w:rsidRPr="00DB170D">
        <w:t xml:space="preserve">This instrument is the </w:t>
      </w:r>
      <w:r>
        <w:rPr>
          <w:i/>
        </w:rPr>
        <w:t xml:space="preserve">Food Standards </w:t>
      </w:r>
      <w:r w:rsidRPr="00F618DF">
        <w:rPr>
          <w:i/>
        </w:rPr>
        <w:t>(</w:t>
      </w:r>
      <w:r w:rsidRPr="004D5DB3">
        <w:rPr>
          <w:i/>
        </w:rPr>
        <w:t xml:space="preserve">Proposal P1030 – Health Claims </w:t>
      </w:r>
      <w:r>
        <w:rPr>
          <w:i/>
        </w:rPr>
        <w:t>– Formulated Supplementary</w:t>
      </w:r>
      <w:r w:rsidRPr="004D5DB3">
        <w:rPr>
          <w:i/>
        </w:rPr>
        <w:t xml:space="preserve"> Sports Foods </w:t>
      </w:r>
      <w:r>
        <w:rPr>
          <w:i/>
        </w:rPr>
        <w:t xml:space="preserve">&amp; </w:t>
      </w:r>
      <w:r w:rsidRPr="004D5DB3">
        <w:rPr>
          <w:i/>
        </w:rPr>
        <w:t>Electrolyte Drinks</w:t>
      </w:r>
      <w:r w:rsidRPr="00F618DF">
        <w:rPr>
          <w:i/>
        </w:rPr>
        <w:t>) Variation</w:t>
      </w:r>
      <w:r w:rsidRPr="00F618DF">
        <w:t>.</w:t>
      </w:r>
    </w:p>
    <w:p w14:paraId="2F00F434" w14:textId="77777777" w:rsidR="0002640D" w:rsidRDefault="0002640D" w:rsidP="0002640D">
      <w:pPr>
        <w:pStyle w:val="Clause"/>
        <w:widowControl/>
      </w:pPr>
    </w:p>
    <w:p w14:paraId="52A537DF" w14:textId="77777777" w:rsidR="0002640D" w:rsidRPr="0036244B" w:rsidRDefault="0002640D" w:rsidP="0002640D">
      <w:pPr>
        <w:pStyle w:val="Clauseheading"/>
        <w:widowControl/>
        <w:tabs>
          <w:tab w:val="clear" w:pos="851"/>
        </w:tabs>
        <w:ind w:left="851" w:hanging="851"/>
      </w:pPr>
      <w:r w:rsidRPr="0036244B">
        <w:t>2</w:t>
      </w:r>
      <w:r w:rsidRPr="0036244B">
        <w:tab/>
      </w:r>
      <w:r>
        <w:t>V</w:t>
      </w:r>
      <w:r w:rsidRPr="0036244B">
        <w:t xml:space="preserve">ariation to Standards in the </w:t>
      </w:r>
      <w:r w:rsidRPr="0072638F">
        <w:rPr>
          <w:i/>
        </w:rPr>
        <w:t>Australia New Zealand Food Standards Code</w:t>
      </w:r>
    </w:p>
    <w:p w14:paraId="275D3CB5" w14:textId="77777777" w:rsidR="0002640D" w:rsidRDefault="0002640D" w:rsidP="0002640D">
      <w:pPr>
        <w:pStyle w:val="Clause"/>
        <w:widowControl/>
      </w:pPr>
    </w:p>
    <w:p w14:paraId="3EEEA54D" w14:textId="77777777" w:rsidR="0002640D" w:rsidRDefault="0002640D" w:rsidP="0002640D">
      <w:pPr>
        <w:pStyle w:val="Clause"/>
        <w:widowControl/>
      </w:pPr>
      <w:r>
        <w:t xml:space="preserve">The Schedule varies the Standards in the </w:t>
      </w:r>
      <w:r w:rsidRPr="00FF1C11">
        <w:rPr>
          <w:i/>
        </w:rPr>
        <w:t>Australia New Zealand Food Standards Code</w:t>
      </w:r>
      <w:r>
        <w:t>.</w:t>
      </w:r>
    </w:p>
    <w:p w14:paraId="644841A1" w14:textId="77777777" w:rsidR="0002640D" w:rsidRDefault="0002640D" w:rsidP="0002640D">
      <w:pPr>
        <w:widowControl/>
        <w:rPr>
          <w:sz w:val="20"/>
        </w:rPr>
      </w:pPr>
    </w:p>
    <w:p w14:paraId="430AA258" w14:textId="77777777" w:rsidR="0002640D" w:rsidRDefault="0002640D" w:rsidP="0002640D">
      <w:pPr>
        <w:pStyle w:val="Clauseheading"/>
        <w:widowControl/>
      </w:pPr>
      <w:r>
        <w:t>3</w:t>
      </w:r>
      <w:r>
        <w:tab/>
        <w:t>Commencement</w:t>
      </w:r>
    </w:p>
    <w:p w14:paraId="0A02D02E" w14:textId="77777777" w:rsidR="0002640D" w:rsidRDefault="0002640D" w:rsidP="0002640D">
      <w:pPr>
        <w:pStyle w:val="Clause"/>
        <w:widowControl/>
      </w:pPr>
    </w:p>
    <w:p w14:paraId="28F92FC2" w14:textId="77777777" w:rsidR="0002640D" w:rsidRDefault="0002640D" w:rsidP="0002640D">
      <w:pPr>
        <w:pStyle w:val="Clause"/>
        <w:widowControl/>
      </w:pPr>
      <w:r>
        <w:t>The variation commenc</w:t>
      </w:r>
      <w:r w:rsidRPr="000055C4">
        <w:t>e</w:t>
      </w:r>
      <w:r>
        <w:t>s</w:t>
      </w:r>
      <w:r w:rsidRPr="000055C4">
        <w:t xml:space="preserve"> on</w:t>
      </w:r>
      <w:r>
        <w:t xml:space="preserve"> the date of gazettal.</w:t>
      </w:r>
    </w:p>
    <w:p w14:paraId="7AA9DE0B" w14:textId="77777777" w:rsidR="0002640D" w:rsidRDefault="0002640D" w:rsidP="0002640D">
      <w:pPr>
        <w:pStyle w:val="ScheduleHeading"/>
        <w:widowControl/>
      </w:pPr>
    </w:p>
    <w:p w14:paraId="61B85184" w14:textId="77777777" w:rsidR="0002640D" w:rsidRDefault="0002640D" w:rsidP="0002640D">
      <w:pPr>
        <w:pStyle w:val="ScheduleHeading"/>
        <w:widowControl/>
      </w:pPr>
      <w:r>
        <w:t>SCHEDULE</w:t>
      </w:r>
    </w:p>
    <w:p w14:paraId="771C292A" w14:textId="77777777" w:rsidR="0002640D" w:rsidRPr="0036244B" w:rsidRDefault="0002640D" w:rsidP="0002640D">
      <w:pPr>
        <w:widowControl/>
        <w:rPr>
          <w:sz w:val="20"/>
        </w:rPr>
      </w:pPr>
    </w:p>
    <w:p w14:paraId="0E6425E6" w14:textId="77777777" w:rsidR="0002640D" w:rsidRDefault="0002640D" w:rsidP="0002640D">
      <w:pPr>
        <w:pStyle w:val="Clause"/>
        <w:widowControl/>
      </w:pPr>
      <w:r w:rsidRPr="00BC3497">
        <w:rPr>
          <w:b/>
        </w:rPr>
        <w:t>[1]</w:t>
      </w:r>
      <w:r w:rsidRPr="00BC3497">
        <w:rPr>
          <w:b/>
        </w:rPr>
        <w:tab/>
        <w:t xml:space="preserve">Standard </w:t>
      </w:r>
      <w:r>
        <w:rPr>
          <w:b/>
        </w:rPr>
        <w:t>1.2.7</w:t>
      </w:r>
      <w:r w:rsidRPr="00BC3497">
        <w:t xml:space="preserve"> is varied by</w:t>
      </w:r>
      <w:r>
        <w:t xml:space="preserve"> inserting in Columns 2, 3 and 4 of Schedule 1 after the last entry for “Vitamin or mineral (not including potassium or </w:t>
      </w:r>
      <w:r w:rsidRPr="0018704C">
        <w:t>sodium</w:t>
      </w:r>
      <w:r>
        <w:t>)”</w:t>
      </w:r>
    </w:p>
    <w:p w14:paraId="330EA2ED" w14:textId="77777777" w:rsidR="0002640D" w:rsidRDefault="0002640D" w:rsidP="0002640D">
      <w:pPr>
        <w:pStyle w:val="Clause"/>
        <w:widowControl/>
      </w:pPr>
    </w:p>
    <w:p w14:paraId="538D24AE" w14:textId="77777777" w:rsidR="0002640D" w:rsidRDefault="0002640D" w:rsidP="0002640D">
      <w:pPr>
        <w:widowControl/>
      </w:pPr>
      <w:r>
        <w:t>“</w:t>
      </w: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2120"/>
        <w:gridCol w:w="2107"/>
        <w:gridCol w:w="2702"/>
      </w:tblGrid>
      <w:tr w:rsidR="0002640D" w:rsidRPr="00AC1C0D" w14:paraId="32A3D33D" w14:textId="77777777" w:rsidTr="0002640D">
        <w:tc>
          <w:tcPr>
            <w:tcW w:w="2107" w:type="dxa"/>
            <w:tcBorders>
              <w:top w:val="nil"/>
              <w:left w:val="nil"/>
              <w:bottom w:val="nil"/>
            </w:tcBorders>
          </w:tcPr>
          <w:p w14:paraId="68C50518" w14:textId="77777777" w:rsidR="0002640D" w:rsidRDefault="0002640D" w:rsidP="0002640D">
            <w:pPr>
              <w:pStyle w:val="Table2"/>
              <w:widowControl/>
              <w:ind w:left="99" w:hanging="99"/>
            </w:pPr>
          </w:p>
        </w:tc>
        <w:tc>
          <w:tcPr>
            <w:tcW w:w="2120" w:type="dxa"/>
          </w:tcPr>
          <w:p w14:paraId="69615A69" w14:textId="77777777" w:rsidR="0002640D" w:rsidRPr="00ED38F1" w:rsidRDefault="0002640D" w:rsidP="0002640D">
            <w:pPr>
              <w:pStyle w:val="Table2"/>
              <w:widowControl/>
              <w:ind w:left="99" w:hanging="99"/>
            </w:pPr>
            <w:r>
              <w:t xml:space="preserve">If the food </w:t>
            </w:r>
            <w:r w:rsidRPr="004B138A">
              <w:t>is a formulated</w:t>
            </w:r>
            <w:r>
              <w:t xml:space="preserve"> </w:t>
            </w:r>
            <w:r w:rsidRPr="00ED38F1">
              <w:t>supplementary sports food st</w:t>
            </w:r>
            <w:r>
              <w:t>andardised under Standard 2.9.4</w:t>
            </w:r>
            <w:r w:rsidRPr="00ED38F1">
              <w:t>,</w:t>
            </w:r>
            <w:r>
              <w:t xml:space="preserve"> </w:t>
            </w:r>
            <w:r w:rsidRPr="004E6389">
              <w:t>the food meets the conditions for making a claim about vitamins and minerals in subclause 5(2) of Standard 2.</w:t>
            </w:r>
            <w:r w:rsidRPr="00F83FD8">
              <w:t>9.4</w:t>
            </w:r>
          </w:p>
        </w:tc>
        <w:tc>
          <w:tcPr>
            <w:tcW w:w="2107" w:type="dxa"/>
          </w:tcPr>
          <w:p w14:paraId="56D64F2D" w14:textId="77777777" w:rsidR="0002640D" w:rsidRPr="00AC1C0D" w:rsidRDefault="0002640D" w:rsidP="0002640D">
            <w:pPr>
              <w:widowControl/>
              <w:ind w:left="99" w:hanging="99"/>
              <w:rPr>
                <w:rFonts w:eastAsiaTheme="minorHAnsi" w:cstheme="minorBidi"/>
                <w:bCs/>
                <w:sz w:val="18"/>
                <w:lang w:eastAsia="en-AU"/>
              </w:rPr>
            </w:pPr>
          </w:p>
        </w:tc>
        <w:tc>
          <w:tcPr>
            <w:tcW w:w="2702" w:type="dxa"/>
          </w:tcPr>
          <w:p w14:paraId="76A853CD" w14:textId="77777777" w:rsidR="0002640D" w:rsidRPr="00AC1C0D" w:rsidRDefault="0002640D" w:rsidP="0002640D">
            <w:pPr>
              <w:widowControl/>
              <w:ind w:left="99" w:hanging="99"/>
              <w:rPr>
                <w:rFonts w:eastAsiaTheme="minorHAnsi" w:cstheme="minorBidi"/>
                <w:bCs/>
                <w:sz w:val="18"/>
                <w:lang w:eastAsia="en-AU"/>
              </w:rPr>
            </w:pPr>
          </w:p>
        </w:tc>
      </w:tr>
    </w:tbl>
    <w:p w14:paraId="51EB9710" w14:textId="77777777" w:rsidR="0002640D" w:rsidRPr="00A870AD" w:rsidRDefault="0002640D" w:rsidP="0002640D">
      <w:pPr>
        <w:pStyle w:val="Subclause"/>
        <w:jc w:val="right"/>
      </w:pPr>
      <w:r w:rsidRPr="00A870AD">
        <w:t>”</w:t>
      </w:r>
    </w:p>
    <w:p w14:paraId="560F1ABA" w14:textId="77777777" w:rsidR="0002640D" w:rsidRDefault="0002640D" w:rsidP="0002640D">
      <w:pPr>
        <w:pStyle w:val="Clause"/>
        <w:widowControl/>
      </w:pPr>
    </w:p>
    <w:p w14:paraId="1C812A37" w14:textId="77777777" w:rsidR="0002640D" w:rsidRDefault="0002640D" w:rsidP="0002640D">
      <w:pPr>
        <w:pStyle w:val="Clause"/>
        <w:widowControl/>
      </w:pPr>
      <w:r>
        <w:rPr>
          <w:b/>
        </w:rPr>
        <w:t>[2]</w:t>
      </w:r>
      <w:r>
        <w:rPr>
          <w:b/>
        </w:rPr>
        <w:tab/>
      </w:r>
      <w:r w:rsidRPr="0018704C">
        <w:rPr>
          <w:b/>
        </w:rPr>
        <w:t>Standard 1.3.1</w:t>
      </w:r>
      <w:r w:rsidRPr="00BC3497">
        <w:t xml:space="preserve"> is varied by</w:t>
      </w:r>
      <w:r>
        <w:t xml:space="preserve"> </w:t>
      </w:r>
    </w:p>
    <w:p w14:paraId="223D2EE3" w14:textId="77777777" w:rsidR="0002640D" w:rsidRDefault="0002640D" w:rsidP="0002640D">
      <w:pPr>
        <w:pStyle w:val="Clause"/>
        <w:widowControl/>
      </w:pPr>
    </w:p>
    <w:p w14:paraId="203C8911" w14:textId="77777777" w:rsidR="0002640D" w:rsidRDefault="0002640D" w:rsidP="0002640D">
      <w:pPr>
        <w:pStyle w:val="Subclause"/>
      </w:pPr>
      <w:r w:rsidRPr="00A85341">
        <w:t>[</w:t>
      </w:r>
      <w:r>
        <w:t>2</w:t>
      </w:r>
      <w:r w:rsidRPr="00A85341">
        <w:t>.1]</w:t>
      </w:r>
      <w:r w:rsidRPr="00A85341">
        <w:tab/>
      </w:r>
      <w:r>
        <w:t xml:space="preserve">omitting from item 14.1.3 in Schedule 1 </w:t>
      </w:r>
    </w:p>
    <w:p w14:paraId="4D631968" w14:textId="77777777" w:rsidR="0002640D" w:rsidRDefault="0002640D" w:rsidP="0002640D">
      <w:pPr>
        <w:pStyle w:val="Clause"/>
        <w:widowControl/>
      </w:pPr>
    </w:p>
    <w:p w14:paraId="6DD28884" w14:textId="77777777" w:rsidR="0002640D" w:rsidRDefault="0002640D" w:rsidP="0002640D">
      <w:pPr>
        <w:pStyle w:val="Clause"/>
        <w:widowControl/>
      </w:pPr>
      <w:r>
        <w:t>“</w:t>
      </w:r>
    </w:p>
    <w:tbl>
      <w:tblPr>
        <w:tblW w:w="9245" w:type="dxa"/>
        <w:tblLayout w:type="fixed"/>
        <w:tblLook w:val="0000" w:firstRow="0" w:lastRow="0" w:firstColumn="0" w:lastColumn="0" w:noHBand="0" w:noVBand="0"/>
      </w:tblPr>
      <w:tblGrid>
        <w:gridCol w:w="647"/>
        <w:gridCol w:w="1798"/>
        <w:gridCol w:w="2881"/>
        <w:gridCol w:w="731"/>
        <w:gridCol w:w="710"/>
        <w:gridCol w:w="543"/>
        <w:gridCol w:w="1935"/>
      </w:tblGrid>
      <w:tr w:rsidR="0002640D" w14:paraId="6FF6932D" w14:textId="77777777" w:rsidTr="0002640D">
        <w:trPr>
          <w:cantSplit/>
        </w:trPr>
        <w:tc>
          <w:tcPr>
            <w:tcW w:w="9245" w:type="dxa"/>
            <w:gridSpan w:val="7"/>
          </w:tcPr>
          <w:p w14:paraId="40CC12B5" w14:textId="77777777" w:rsidR="0002640D" w:rsidRDefault="0002640D" w:rsidP="0002640D">
            <w:pPr>
              <w:pStyle w:val="131Subitemheading"/>
              <w:tabs>
                <w:tab w:val="clear" w:pos="851"/>
                <w:tab w:val="left" w:pos="595"/>
              </w:tabs>
              <w:spacing w:after="84"/>
            </w:pPr>
            <w:r>
              <w:tab/>
              <w:t>electrolyte drink and electrolyte drink base</w:t>
            </w:r>
          </w:p>
        </w:tc>
      </w:tr>
      <w:tr w:rsidR="0002640D" w14:paraId="2A695FAB" w14:textId="77777777" w:rsidTr="0002640D">
        <w:tc>
          <w:tcPr>
            <w:tcW w:w="647" w:type="dxa"/>
          </w:tcPr>
          <w:p w14:paraId="617914FD" w14:textId="77777777" w:rsidR="0002640D" w:rsidRDefault="0002640D" w:rsidP="0002640D">
            <w:pPr>
              <w:pStyle w:val="Table2"/>
              <w:widowControl/>
              <w:ind w:left="99" w:hanging="99"/>
            </w:pPr>
          </w:p>
        </w:tc>
        <w:tc>
          <w:tcPr>
            <w:tcW w:w="1798" w:type="dxa"/>
          </w:tcPr>
          <w:p w14:paraId="7D27209F" w14:textId="77777777" w:rsidR="0002640D" w:rsidRPr="00DC3F8A" w:rsidRDefault="0002640D" w:rsidP="0002640D">
            <w:pPr>
              <w:pStyle w:val="Table2"/>
              <w:widowControl/>
              <w:ind w:left="99" w:hanging="99"/>
            </w:pPr>
            <w:r w:rsidRPr="00DC3F8A">
              <w:t>-</w:t>
            </w:r>
          </w:p>
        </w:tc>
        <w:tc>
          <w:tcPr>
            <w:tcW w:w="2881" w:type="dxa"/>
          </w:tcPr>
          <w:p w14:paraId="611B777C" w14:textId="77777777" w:rsidR="0002640D" w:rsidRPr="00DC3F8A" w:rsidRDefault="0002640D" w:rsidP="0002640D">
            <w:pPr>
              <w:pStyle w:val="Table2"/>
              <w:widowControl/>
              <w:ind w:left="99" w:hanging="99"/>
            </w:pPr>
            <w:r w:rsidRPr="00DC3F8A">
              <w:t>Aspartame</w:t>
            </w:r>
          </w:p>
        </w:tc>
        <w:tc>
          <w:tcPr>
            <w:tcW w:w="731" w:type="dxa"/>
          </w:tcPr>
          <w:p w14:paraId="75C3B679" w14:textId="77777777" w:rsidR="0002640D" w:rsidRPr="00DC3F8A" w:rsidRDefault="0002640D" w:rsidP="0002640D">
            <w:pPr>
              <w:pStyle w:val="Table2"/>
              <w:widowControl/>
              <w:ind w:left="99" w:hanging="99"/>
            </w:pPr>
            <w:r w:rsidRPr="00DC3F8A">
              <w:t>150</w:t>
            </w:r>
          </w:p>
        </w:tc>
        <w:tc>
          <w:tcPr>
            <w:tcW w:w="710" w:type="dxa"/>
          </w:tcPr>
          <w:p w14:paraId="703C2568" w14:textId="77777777" w:rsidR="0002640D" w:rsidRDefault="0002640D" w:rsidP="0002640D">
            <w:pPr>
              <w:pStyle w:val="Table2"/>
              <w:widowControl/>
              <w:ind w:left="99" w:hanging="99"/>
            </w:pPr>
            <w:r>
              <w:t>mg/kg</w:t>
            </w:r>
          </w:p>
        </w:tc>
        <w:tc>
          <w:tcPr>
            <w:tcW w:w="543" w:type="dxa"/>
          </w:tcPr>
          <w:p w14:paraId="4E7404E3" w14:textId="77777777" w:rsidR="0002640D" w:rsidRDefault="0002640D" w:rsidP="0002640D">
            <w:pPr>
              <w:pStyle w:val="Table2"/>
              <w:widowControl/>
              <w:ind w:left="99" w:hanging="99"/>
            </w:pPr>
          </w:p>
        </w:tc>
        <w:tc>
          <w:tcPr>
            <w:tcW w:w="1935" w:type="dxa"/>
          </w:tcPr>
          <w:p w14:paraId="53EC46EA" w14:textId="77777777" w:rsidR="0002640D" w:rsidRDefault="0002640D" w:rsidP="0002640D">
            <w:pPr>
              <w:pStyle w:val="Table2"/>
              <w:widowControl/>
              <w:ind w:left="99" w:hanging="99"/>
            </w:pPr>
          </w:p>
        </w:tc>
      </w:tr>
      <w:tr w:rsidR="0002640D" w14:paraId="50B96C80" w14:textId="77777777" w:rsidTr="0002640D">
        <w:tc>
          <w:tcPr>
            <w:tcW w:w="647" w:type="dxa"/>
          </w:tcPr>
          <w:p w14:paraId="2787E2BD" w14:textId="77777777" w:rsidR="0002640D" w:rsidRDefault="0002640D" w:rsidP="0002640D">
            <w:pPr>
              <w:pStyle w:val="Table2"/>
              <w:widowControl/>
              <w:ind w:left="99" w:hanging="99"/>
            </w:pPr>
          </w:p>
        </w:tc>
        <w:tc>
          <w:tcPr>
            <w:tcW w:w="1798" w:type="dxa"/>
          </w:tcPr>
          <w:p w14:paraId="2312284E" w14:textId="77777777" w:rsidR="0002640D" w:rsidRPr="00DC3F8A" w:rsidRDefault="0002640D" w:rsidP="0002640D">
            <w:pPr>
              <w:pStyle w:val="Table2"/>
              <w:widowControl/>
              <w:ind w:left="99" w:hanging="99"/>
            </w:pPr>
            <w:r w:rsidRPr="00DC3F8A">
              <w:t>950</w:t>
            </w:r>
          </w:p>
        </w:tc>
        <w:tc>
          <w:tcPr>
            <w:tcW w:w="2881" w:type="dxa"/>
          </w:tcPr>
          <w:p w14:paraId="0AA1024B" w14:textId="77777777" w:rsidR="0002640D" w:rsidRPr="00DC3F8A" w:rsidRDefault="0002640D" w:rsidP="0002640D">
            <w:pPr>
              <w:pStyle w:val="Table2"/>
              <w:widowControl/>
              <w:ind w:left="99" w:hanging="99"/>
            </w:pPr>
            <w:r w:rsidRPr="00DC3F8A">
              <w:t>Acesulphame potassium</w:t>
            </w:r>
          </w:p>
        </w:tc>
        <w:tc>
          <w:tcPr>
            <w:tcW w:w="731" w:type="dxa"/>
          </w:tcPr>
          <w:p w14:paraId="5DE1B56F" w14:textId="77777777" w:rsidR="0002640D" w:rsidRPr="00DC3F8A" w:rsidRDefault="0002640D" w:rsidP="0002640D">
            <w:pPr>
              <w:pStyle w:val="Table2"/>
              <w:widowControl/>
              <w:ind w:left="99" w:hanging="99"/>
            </w:pPr>
            <w:r w:rsidRPr="00DC3F8A">
              <w:t>150</w:t>
            </w:r>
          </w:p>
        </w:tc>
        <w:tc>
          <w:tcPr>
            <w:tcW w:w="710" w:type="dxa"/>
          </w:tcPr>
          <w:p w14:paraId="36FA5A63" w14:textId="77777777" w:rsidR="0002640D" w:rsidRDefault="0002640D" w:rsidP="0002640D">
            <w:pPr>
              <w:pStyle w:val="Table2"/>
              <w:widowControl/>
              <w:ind w:left="99" w:hanging="99"/>
            </w:pPr>
            <w:r>
              <w:t>mg/kg</w:t>
            </w:r>
          </w:p>
        </w:tc>
        <w:tc>
          <w:tcPr>
            <w:tcW w:w="543" w:type="dxa"/>
          </w:tcPr>
          <w:p w14:paraId="3D6A537E" w14:textId="77777777" w:rsidR="0002640D" w:rsidRDefault="0002640D" w:rsidP="0002640D">
            <w:pPr>
              <w:pStyle w:val="Centeredheadings"/>
              <w:widowControl/>
              <w:tabs>
                <w:tab w:val="clear" w:pos="680"/>
                <w:tab w:val="clear" w:pos="851"/>
                <w:tab w:val="clear" w:pos="1240"/>
                <w:tab w:val="clear" w:pos="1880"/>
                <w:tab w:val="clear" w:pos="7776"/>
                <w:tab w:val="left" w:pos="476"/>
                <w:tab w:val="left" w:pos="595"/>
                <w:tab w:val="left" w:pos="868"/>
                <w:tab w:val="left" w:pos="1316"/>
                <w:tab w:val="left" w:pos="5443"/>
              </w:tabs>
              <w:rPr>
                <w:sz w:val="18"/>
              </w:rPr>
            </w:pPr>
          </w:p>
        </w:tc>
        <w:tc>
          <w:tcPr>
            <w:tcW w:w="1935" w:type="dxa"/>
          </w:tcPr>
          <w:p w14:paraId="3311E636" w14:textId="77777777" w:rsidR="0002640D" w:rsidRDefault="0002640D" w:rsidP="0002640D">
            <w:pPr>
              <w:pStyle w:val="Table2"/>
              <w:widowControl/>
              <w:ind w:left="99" w:hanging="99"/>
            </w:pPr>
          </w:p>
        </w:tc>
      </w:tr>
      <w:tr w:rsidR="0002640D" w14:paraId="1D1C8A28" w14:textId="77777777" w:rsidTr="0002640D">
        <w:tc>
          <w:tcPr>
            <w:tcW w:w="647" w:type="dxa"/>
          </w:tcPr>
          <w:p w14:paraId="74843DE4" w14:textId="77777777" w:rsidR="0002640D" w:rsidRDefault="0002640D" w:rsidP="0002640D">
            <w:pPr>
              <w:pStyle w:val="Table2"/>
              <w:widowControl/>
              <w:ind w:left="99" w:hanging="99"/>
            </w:pPr>
          </w:p>
        </w:tc>
        <w:tc>
          <w:tcPr>
            <w:tcW w:w="1798" w:type="dxa"/>
          </w:tcPr>
          <w:p w14:paraId="10475A67" w14:textId="77777777" w:rsidR="0002640D" w:rsidRPr="00DC3F8A" w:rsidRDefault="0002640D" w:rsidP="0002640D">
            <w:pPr>
              <w:pStyle w:val="Table2"/>
              <w:widowControl/>
              <w:ind w:left="99" w:hanging="99"/>
            </w:pPr>
            <w:r w:rsidRPr="00DC3F8A">
              <w:t>962</w:t>
            </w:r>
          </w:p>
        </w:tc>
        <w:tc>
          <w:tcPr>
            <w:tcW w:w="2881" w:type="dxa"/>
          </w:tcPr>
          <w:p w14:paraId="1C63DD96" w14:textId="77777777" w:rsidR="0002640D" w:rsidRPr="00DC3F8A" w:rsidRDefault="0002640D" w:rsidP="0002640D">
            <w:pPr>
              <w:pStyle w:val="Table2"/>
              <w:widowControl/>
              <w:ind w:left="99" w:hanging="99"/>
            </w:pPr>
            <w:r w:rsidRPr="00DC3F8A">
              <w:t>Aspartame-acesulphame salt</w:t>
            </w:r>
          </w:p>
        </w:tc>
        <w:tc>
          <w:tcPr>
            <w:tcW w:w="731" w:type="dxa"/>
          </w:tcPr>
          <w:p w14:paraId="3E3897DD" w14:textId="77777777" w:rsidR="0002640D" w:rsidRPr="00DC3F8A" w:rsidRDefault="0002640D" w:rsidP="0002640D">
            <w:pPr>
              <w:pStyle w:val="Table2"/>
              <w:widowControl/>
              <w:ind w:left="99" w:hanging="99"/>
            </w:pPr>
            <w:r w:rsidRPr="00DC3F8A">
              <w:t>230</w:t>
            </w:r>
          </w:p>
        </w:tc>
        <w:tc>
          <w:tcPr>
            <w:tcW w:w="710" w:type="dxa"/>
          </w:tcPr>
          <w:p w14:paraId="1C26C0FE" w14:textId="77777777" w:rsidR="0002640D" w:rsidRDefault="0002640D" w:rsidP="0002640D">
            <w:pPr>
              <w:pStyle w:val="Table2"/>
              <w:widowControl/>
              <w:ind w:left="99" w:hanging="99"/>
            </w:pPr>
            <w:r>
              <w:t>mg/kg</w:t>
            </w:r>
          </w:p>
        </w:tc>
        <w:tc>
          <w:tcPr>
            <w:tcW w:w="543" w:type="dxa"/>
          </w:tcPr>
          <w:p w14:paraId="15C6A399" w14:textId="77777777" w:rsidR="0002640D" w:rsidRDefault="0002640D" w:rsidP="0002640D">
            <w:pPr>
              <w:pStyle w:val="Centeredheadings"/>
              <w:widowControl/>
              <w:tabs>
                <w:tab w:val="clear" w:pos="680"/>
                <w:tab w:val="clear" w:pos="851"/>
                <w:tab w:val="clear" w:pos="1240"/>
                <w:tab w:val="clear" w:pos="1880"/>
                <w:tab w:val="clear" w:pos="7776"/>
                <w:tab w:val="left" w:pos="476"/>
                <w:tab w:val="left" w:pos="595"/>
                <w:tab w:val="left" w:pos="868"/>
                <w:tab w:val="left" w:pos="1316"/>
                <w:tab w:val="left" w:pos="5443"/>
              </w:tabs>
              <w:rPr>
                <w:sz w:val="18"/>
              </w:rPr>
            </w:pPr>
          </w:p>
        </w:tc>
        <w:tc>
          <w:tcPr>
            <w:tcW w:w="1935" w:type="dxa"/>
          </w:tcPr>
          <w:p w14:paraId="007ED776" w14:textId="77777777" w:rsidR="0002640D" w:rsidRDefault="0002640D" w:rsidP="0002640D">
            <w:pPr>
              <w:pStyle w:val="Table2"/>
              <w:widowControl/>
              <w:ind w:left="99" w:hanging="99"/>
            </w:pPr>
          </w:p>
        </w:tc>
      </w:tr>
    </w:tbl>
    <w:p w14:paraId="6AECF486" w14:textId="77777777" w:rsidR="0002640D" w:rsidRPr="00240403" w:rsidRDefault="0002640D" w:rsidP="0002640D">
      <w:pPr>
        <w:pStyle w:val="Clause"/>
        <w:widowControl/>
        <w:jc w:val="right"/>
      </w:pPr>
      <w:r w:rsidRPr="00240403">
        <w:t>”</w:t>
      </w:r>
    </w:p>
    <w:p w14:paraId="1F6DB5C6" w14:textId="77777777" w:rsidR="0002640D" w:rsidRDefault="0002640D" w:rsidP="0002640D">
      <w:pPr>
        <w:pStyle w:val="Subclause"/>
      </w:pPr>
    </w:p>
    <w:p w14:paraId="4EE33D2D" w14:textId="77777777" w:rsidR="0002640D" w:rsidRDefault="0002640D" w:rsidP="0002640D">
      <w:pPr>
        <w:pStyle w:val="Subclause"/>
      </w:pPr>
      <w:r>
        <w:t>[2.2]</w:t>
      </w:r>
      <w:r>
        <w:tab/>
        <w:t>inserting after item 13.4.2 in Schedule 1</w:t>
      </w:r>
    </w:p>
    <w:p w14:paraId="7EAED5CA" w14:textId="77777777" w:rsidR="0002640D" w:rsidRDefault="0002640D" w:rsidP="0002640D">
      <w:pPr>
        <w:pStyle w:val="Subclause"/>
      </w:pPr>
    </w:p>
    <w:p w14:paraId="144C9C8C" w14:textId="77777777" w:rsidR="0002640D" w:rsidRDefault="0002640D" w:rsidP="0002640D">
      <w:pPr>
        <w:pStyle w:val="Subclause"/>
      </w:pPr>
      <w:r>
        <w:t>“</w:t>
      </w:r>
    </w:p>
    <w:tbl>
      <w:tblPr>
        <w:tblW w:w="9245" w:type="dxa"/>
        <w:tblLayout w:type="fixed"/>
        <w:tblLook w:val="0000" w:firstRow="0" w:lastRow="0" w:firstColumn="0" w:lastColumn="0" w:noHBand="0" w:noVBand="0"/>
      </w:tblPr>
      <w:tblGrid>
        <w:gridCol w:w="647"/>
        <w:gridCol w:w="1798"/>
        <w:gridCol w:w="2883"/>
        <w:gridCol w:w="20"/>
        <w:gridCol w:w="709"/>
        <w:gridCol w:w="710"/>
        <w:gridCol w:w="543"/>
        <w:gridCol w:w="1926"/>
        <w:gridCol w:w="9"/>
      </w:tblGrid>
      <w:tr w:rsidR="0002640D" w:rsidRPr="00E86FB4" w14:paraId="5C11892B" w14:textId="77777777" w:rsidTr="0002640D">
        <w:trPr>
          <w:cantSplit/>
        </w:trPr>
        <w:tc>
          <w:tcPr>
            <w:tcW w:w="9245" w:type="dxa"/>
            <w:gridSpan w:val="9"/>
          </w:tcPr>
          <w:p w14:paraId="5A1E6B91" w14:textId="77777777" w:rsidR="0002640D" w:rsidRPr="00E86FB4" w:rsidRDefault="0002640D" w:rsidP="0002640D">
            <w:pPr>
              <w:pStyle w:val="131Subitemheading"/>
              <w:tabs>
                <w:tab w:val="clear" w:pos="851"/>
                <w:tab w:val="left" w:pos="595"/>
              </w:tabs>
              <w:spacing w:after="84"/>
            </w:pPr>
            <w:r w:rsidRPr="00E86FB4">
              <w:t>1</w:t>
            </w:r>
            <w:r>
              <w:t>3</w:t>
            </w:r>
            <w:r w:rsidRPr="00E86FB4">
              <w:t>.</w:t>
            </w:r>
            <w:r>
              <w:t>5</w:t>
            </w:r>
            <w:r w:rsidRPr="00E86FB4">
              <w:tab/>
            </w:r>
            <w:r>
              <w:t>E</w:t>
            </w:r>
            <w:r w:rsidRPr="007B5F1B">
              <w:t>lectrolyte drink and electrolyte drink base</w:t>
            </w:r>
            <w:r>
              <w:t>*</w:t>
            </w:r>
          </w:p>
        </w:tc>
      </w:tr>
      <w:tr w:rsidR="0002640D" w:rsidRPr="00E86FB4" w14:paraId="780AD177" w14:textId="77777777" w:rsidTr="0002640D">
        <w:tc>
          <w:tcPr>
            <w:tcW w:w="647" w:type="dxa"/>
          </w:tcPr>
          <w:p w14:paraId="27C81B40" w14:textId="77777777" w:rsidR="0002640D" w:rsidRPr="00E86FB4" w:rsidRDefault="0002640D" w:rsidP="0002640D">
            <w:pPr>
              <w:widowControl/>
              <w:ind w:left="99" w:hanging="99"/>
              <w:rPr>
                <w:bCs/>
                <w:sz w:val="18"/>
              </w:rPr>
            </w:pPr>
          </w:p>
        </w:tc>
        <w:tc>
          <w:tcPr>
            <w:tcW w:w="1798" w:type="dxa"/>
          </w:tcPr>
          <w:p w14:paraId="42CA3DEB" w14:textId="77777777" w:rsidR="0002640D" w:rsidRPr="00E86FB4" w:rsidRDefault="0002640D" w:rsidP="0002640D">
            <w:pPr>
              <w:pStyle w:val="Table2"/>
              <w:ind w:left="99" w:hanging="99"/>
            </w:pPr>
            <w:r w:rsidRPr="00E86FB4">
              <w:t>-</w:t>
            </w:r>
          </w:p>
        </w:tc>
        <w:tc>
          <w:tcPr>
            <w:tcW w:w="2883" w:type="dxa"/>
          </w:tcPr>
          <w:p w14:paraId="63B627C7" w14:textId="77777777" w:rsidR="0002640D" w:rsidRPr="00E86FB4" w:rsidRDefault="0002640D" w:rsidP="0002640D">
            <w:pPr>
              <w:pStyle w:val="Table2"/>
              <w:ind w:left="99" w:hanging="99"/>
            </w:pPr>
            <w:r w:rsidRPr="00E86FB4">
              <w:t>Quinine</w:t>
            </w:r>
          </w:p>
          <w:p w14:paraId="5E20DB1A" w14:textId="77777777" w:rsidR="0002640D" w:rsidRPr="00E86FB4" w:rsidRDefault="0002640D" w:rsidP="0002640D">
            <w:pPr>
              <w:pStyle w:val="Table2"/>
              <w:ind w:left="99" w:hanging="99"/>
            </w:pPr>
          </w:p>
        </w:tc>
        <w:tc>
          <w:tcPr>
            <w:tcW w:w="729" w:type="dxa"/>
            <w:gridSpan w:val="2"/>
          </w:tcPr>
          <w:p w14:paraId="2D825E2C" w14:textId="77777777" w:rsidR="0002640D" w:rsidRPr="00E86FB4" w:rsidRDefault="0002640D" w:rsidP="0002640D">
            <w:pPr>
              <w:pStyle w:val="Table2"/>
              <w:ind w:left="99" w:hanging="99"/>
            </w:pPr>
            <w:r w:rsidRPr="00E86FB4">
              <w:t>100</w:t>
            </w:r>
          </w:p>
        </w:tc>
        <w:tc>
          <w:tcPr>
            <w:tcW w:w="710" w:type="dxa"/>
          </w:tcPr>
          <w:p w14:paraId="7D637CC5" w14:textId="77777777" w:rsidR="0002640D" w:rsidRPr="00E86FB4" w:rsidRDefault="0002640D" w:rsidP="0002640D">
            <w:pPr>
              <w:pStyle w:val="Table2"/>
              <w:ind w:left="99" w:hanging="99"/>
            </w:pPr>
            <w:r w:rsidRPr="00E86FB4">
              <w:t>mg/kg</w:t>
            </w:r>
          </w:p>
        </w:tc>
        <w:tc>
          <w:tcPr>
            <w:tcW w:w="543" w:type="dxa"/>
          </w:tcPr>
          <w:p w14:paraId="6CB69A02" w14:textId="77777777" w:rsidR="0002640D" w:rsidRPr="00E86FB4" w:rsidRDefault="0002640D" w:rsidP="0002640D">
            <w:pPr>
              <w:pStyle w:val="Table2"/>
              <w:ind w:left="99" w:hanging="99"/>
            </w:pPr>
          </w:p>
        </w:tc>
        <w:tc>
          <w:tcPr>
            <w:tcW w:w="1935" w:type="dxa"/>
            <w:gridSpan w:val="2"/>
          </w:tcPr>
          <w:p w14:paraId="343F3617" w14:textId="77777777" w:rsidR="0002640D" w:rsidRPr="00E86FB4" w:rsidRDefault="0002640D" w:rsidP="0002640D">
            <w:pPr>
              <w:pStyle w:val="Table2"/>
              <w:ind w:left="99" w:hanging="99"/>
            </w:pPr>
            <w:r w:rsidRPr="00E86FB4">
              <w:t>tonic drinks, bitter drinks and quinine drinks only</w:t>
            </w:r>
          </w:p>
        </w:tc>
      </w:tr>
      <w:tr w:rsidR="0002640D" w:rsidRPr="00E86FB4" w14:paraId="34240496" w14:textId="77777777" w:rsidTr="0002640D">
        <w:tc>
          <w:tcPr>
            <w:tcW w:w="647" w:type="dxa"/>
          </w:tcPr>
          <w:p w14:paraId="5212BC83" w14:textId="77777777" w:rsidR="0002640D" w:rsidRPr="00E86FB4" w:rsidRDefault="0002640D" w:rsidP="0002640D">
            <w:pPr>
              <w:widowControl/>
              <w:ind w:left="99" w:hanging="99"/>
              <w:rPr>
                <w:bCs/>
                <w:sz w:val="18"/>
              </w:rPr>
            </w:pPr>
          </w:p>
        </w:tc>
        <w:tc>
          <w:tcPr>
            <w:tcW w:w="1798" w:type="dxa"/>
          </w:tcPr>
          <w:p w14:paraId="33D6D837" w14:textId="77777777" w:rsidR="0002640D" w:rsidRPr="00E86FB4" w:rsidRDefault="0002640D" w:rsidP="0002640D">
            <w:pPr>
              <w:pStyle w:val="Table2"/>
              <w:ind w:left="99" w:hanging="99"/>
            </w:pPr>
            <w:r w:rsidRPr="00E86FB4">
              <w:t>123</w:t>
            </w:r>
          </w:p>
        </w:tc>
        <w:tc>
          <w:tcPr>
            <w:tcW w:w="2883" w:type="dxa"/>
          </w:tcPr>
          <w:p w14:paraId="54317BAA" w14:textId="77777777" w:rsidR="0002640D" w:rsidRPr="00E86FB4" w:rsidRDefault="0002640D" w:rsidP="0002640D">
            <w:pPr>
              <w:pStyle w:val="Table2"/>
              <w:ind w:left="99" w:hanging="99"/>
            </w:pPr>
            <w:r w:rsidRPr="00E86FB4">
              <w:t>Amaranth</w:t>
            </w:r>
          </w:p>
        </w:tc>
        <w:tc>
          <w:tcPr>
            <w:tcW w:w="729" w:type="dxa"/>
            <w:gridSpan w:val="2"/>
          </w:tcPr>
          <w:p w14:paraId="0961FFC1" w14:textId="77777777" w:rsidR="0002640D" w:rsidRPr="00E86FB4" w:rsidRDefault="0002640D" w:rsidP="0002640D">
            <w:pPr>
              <w:pStyle w:val="Table2"/>
              <w:ind w:left="99" w:hanging="99"/>
            </w:pPr>
            <w:r w:rsidRPr="00E86FB4">
              <w:t>30</w:t>
            </w:r>
          </w:p>
        </w:tc>
        <w:tc>
          <w:tcPr>
            <w:tcW w:w="710" w:type="dxa"/>
          </w:tcPr>
          <w:p w14:paraId="0F9D3E2C" w14:textId="77777777" w:rsidR="0002640D" w:rsidRPr="00E86FB4" w:rsidRDefault="0002640D" w:rsidP="0002640D">
            <w:pPr>
              <w:pStyle w:val="Table2"/>
              <w:ind w:left="99" w:hanging="99"/>
            </w:pPr>
            <w:r w:rsidRPr="00E86FB4">
              <w:t>mg/kg</w:t>
            </w:r>
          </w:p>
        </w:tc>
        <w:tc>
          <w:tcPr>
            <w:tcW w:w="543" w:type="dxa"/>
          </w:tcPr>
          <w:p w14:paraId="1E66D429" w14:textId="77777777" w:rsidR="0002640D" w:rsidRPr="00E86FB4" w:rsidRDefault="0002640D" w:rsidP="0002640D">
            <w:pPr>
              <w:pStyle w:val="Table2"/>
              <w:ind w:left="99" w:hanging="99"/>
            </w:pPr>
          </w:p>
        </w:tc>
        <w:tc>
          <w:tcPr>
            <w:tcW w:w="1935" w:type="dxa"/>
            <w:gridSpan w:val="2"/>
          </w:tcPr>
          <w:p w14:paraId="69E5E8E2" w14:textId="77777777" w:rsidR="0002640D" w:rsidRPr="00E86FB4" w:rsidRDefault="0002640D" w:rsidP="0002640D">
            <w:pPr>
              <w:widowControl/>
              <w:tabs>
                <w:tab w:val="left" w:pos="123"/>
              </w:tabs>
              <w:ind w:left="99" w:hanging="99"/>
              <w:rPr>
                <w:bCs/>
                <w:sz w:val="18"/>
              </w:rPr>
            </w:pPr>
          </w:p>
        </w:tc>
      </w:tr>
      <w:tr w:rsidR="0002640D" w:rsidRPr="00E86FB4" w14:paraId="28EABA75" w14:textId="77777777" w:rsidTr="0002640D">
        <w:tc>
          <w:tcPr>
            <w:tcW w:w="647" w:type="dxa"/>
          </w:tcPr>
          <w:p w14:paraId="64D0CA34" w14:textId="77777777" w:rsidR="0002640D" w:rsidRPr="00E86FB4" w:rsidRDefault="0002640D" w:rsidP="0002640D">
            <w:pPr>
              <w:widowControl/>
              <w:ind w:left="99" w:hanging="99"/>
              <w:rPr>
                <w:bCs/>
                <w:sz w:val="18"/>
              </w:rPr>
            </w:pPr>
          </w:p>
        </w:tc>
        <w:tc>
          <w:tcPr>
            <w:tcW w:w="1798" w:type="dxa"/>
          </w:tcPr>
          <w:p w14:paraId="38EA1351" w14:textId="77777777" w:rsidR="0002640D" w:rsidRPr="00E86FB4" w:rsidRDefault="0002640D" w:rsidP="0002640D">
            <w:pPr>
              <w:pStyle w:val="Table2"/>
              <w:ind w:left="99" w:hanging="99"/>
            </w:pPr>
            <w:r w:rsidRPr="00E86FB4">
              <w:t>200 201 202 203</w:t>
            </w:r>
          </w:p>
        </w:tc>
        <w:tc>
          <w:tcPr>
            <w:tcW w:w="2883" w:type="dxa"/>
          </w:tcPr>
          <w:p w14:paraId="06F3EFE2" w14:textId="77777777" w:rsidR="0002640D" w:rsidRPr="00E86FB4" w:rsidRDefault="0002640D" w:rsidP="0002640D">
            <w:pPr>
              <w:pStyle w:val="Table2"/>
              <w:ind w:left="99" w:hanging="99"/>
            </w:pPr>
            <w:r w:rsidRPr="00E86FB4">
              <w:t>Sorbic acid and sodium, potassium and calcium sorbates</w:t>
            </w:r>
          </w:p>
        </w:tc>
        <w:tc>
          <w:tcPr>
            <w:tcW w:w="729" w:type="dxa"/>
            <w:gridSpan w:val="2"/>
          </w:tcPr>
          <w:p w14:paraId="57466254" w14:textId="77777777" w:rsidR="0002640D" w:rsidRPr="00E86FB4" w:rsidRDefault="0002640D" w:rsidP="0002640D">
            <w:pPr>
              <w:pStyle w:val="Table2"/>
              <w:ind w:left="99" w:hanging="99"/>
            </w:pPr>
            <w:r w:rsidRPr="00E86FB4">
              <w:t>400</w:t>
            </w:r>
          </w:p>
        </w:tc>
        <w:tc>
          <w:tcPr>
            <w:tcW w:w="710" w:type="dxa"/>
          </w:tcPr>
          <w:p w14:paraId="42371751" w14:textId="77777777" w:rsidR="0002640D" w:rsidRPr="00E86FB4" w:rsidRDefault="0002640D" w:rsidP="0002640D">
            <w:pPr>
              <w:pStyle w:val="Table2"/>
              <w:ind w:left="99" w:hanging="99"/>
            </w:pPr>
            <w:r w:rsidRPr="00E86FB4">
              <w:t>mg/kg</w:t>
            </w:r>
          </w:p>
        </w:tc>
        <w:tc>
          <w:tcPr>
            <w:tcW w:w="543" w:type="dxa"/>
          </w:tcPr>
          <w:p w14:paraId="5686605B" w14:textId="77777777" w:rsidR="0002640D" w:rsidRPr="00E86FB4" w:rsidRDefault="0002640D" w:rsidP="0002640D">
            <w:pPr>
              <w:pStyle w:val="Table2"/>
              <w:ind w:left="99" w:hanging="99"/>
            </w:pPr>
          </w:p>
        </w:tc>
        <w:tc>
          <w:tcPr>
            <w:tcW w:w="1935" w:type="dxa"/>
            <w:gridSpan w:val="2"/>
          </w:tcPr>
          <w:p w14:paraId="7C2B6C68" w14:textId="77777777" w:rsidR="0002640D" w:rsidRPr="00E86FB4" w:rsidRDefault="0002640D" w:rsidP="0002640D">
            <w:pPr>
              <w:widowControl/>
              <w:tabs>
                <w:tab w:val="left" w:pos="123"/>
              </w:tabs>
              <w:ind w:left="99" w:hanging="99"/>
              <w:rPr>
                <w:bCs/>
                <w:sz w:val="18"/>
              </w:rPr>
            </w:pPr>
          </w:p>
        </w:tc>
      </w:tr>
      <w:tr w:rsidR="0002640D" w:rsidRPr="00E86FB4" w14:paraId="389F4450" w14:textId="77777777" w:rsidTr="0002640D">
        <w:tc>
          <w:tcPr>
            <w:tcW w:w="647" w:type="dxa"/>
          </w:tcPr>
          <w:p w14:paraId="4FFFEAE7" w14:textId="77777777" w:rsidR="0002640D" w:rsidRPr="00E86FB4" w:rsidRDefault="0002640D" w:rsidP="0002640D">
            <w:pPr>
              <w:widowControl/>
              <w:ind w:left="99" w:hanging="99"/>
              <w:rPr>
                <w:bCs/>
                <w:sz w:val="18"/>
              </w:rPr>
            </w:pPr>
          </w:p>
        </w:tc>
        <w:tc>
          <w:tcPr>
            <w:tcW w:w="1798" w:type="dxa"/>
          </w:tcPr>
          <w:p w14:paraId="27E375F0" w14:textId="77777777" w:rsidR="0002640D" w:rsidRPr="00E86FB4" w:rsidRDefault="0002640D" w:rsidP="0002640D">
            <w:pPr>
              <w:pStyle w:val="Table2"/>
              <w:ind w:left="99" w:hanging="99"/>
            </w:pPr>
            <w:r w:rsidRPr="00E86FB4">
              <w:t>210 211 212 213</w:t>
            </w:r>
          </w:p>
        </w:tc>
        <w:tc>
          <w:tcPr>
            <w:tcW w:w="2883" w:type="dxa"/>
          </w:tcPr>
          <w:p w14:paraId="5C303FBE" w14:textId="77777777" w:rsidR="0002640D" w:rsidRPr="00E86FB4" w:rsidRDefault="0002640D" w:rsidP="0002640D">
            <w:pPr>
              <w:pStyle w:val="Table2"/>
              <w:ind w:left="99" w:hanging="99"/>
            </w:pPr>
            <w:r w:rsidRPr="00E86FB4">
              <w:t>Benzoic acid and sodium, potassium and calcium benzoates</w:t>
            </w:r>
          </w:p>
        </w:tc>
        <w:tc>
          <w:tcPr>
            <w:tcW w:w="729" w:type="dxa"/>
            <w:gridSpan w:val="2"/>
          </w:tcPr>
          <w:p w14:paraId="420A47C5" w14:textId="77777777" w:rsidR="0002640D" w:rsidRPr="00E86FB4" w:rsidRDefault="0002640D" w:rsidP="0002640D">
            <w:pPr>
              <w:pStyle w:val="Table2"/>
              <w:ind w:left="99" w:hanging="99"/>
            </w:pPr>
            <w:r w:rsidRPr="00E86FB4">
              <w:t>400</w:t>
            </w:r>
          </w:p>
        </w:tc>
        <w:tc>
          <w:tcPr>
            <w:tcW w:w="710" w:type="dxa"/>
          </w:tcPr>
          <w:p w14:paraId="1F70320D" w14:textId="77777777" w:rsidR="0002640D" w:rsidRPr="00E86FB4" w:rsidRDefault="0002640D" w:rsidP="0002640D">
            <w:pPr>
              <w:pStyle w:val="Table2"/>
              <w:ind w:left="99" w:hanging="99"/>
            </w:pPr>
            <w:r w:rsidRPr="00E86FB4">
              <w:t>mg/kg</w:t>
            </w:r>
          </w:p>
        </w:tc>
        <w:tc>
          <w:tcPr>
            <w:tcW w:w="543" w:type="dxa"/>
          </w:tcPr>
          <w:p w14:paraId="2E3CDC43" w14:textId="77777777" w:rsidR="0002640D" w:rsidRPr="00E86FB4" w:rsidRDefault="0002640D" w:rsidP="0002640D">
            <w:pPr>
              <w:pStyle w:val="Table2"/>
              <w:ind w:left="99" w:hanging="99"/>
            </w:pPr>
          </w:p>
        </w:tc>
        <w:tc>
          <w:tcPr>
            <w:tcW w:w="1935" w:type="dxa"/>
            <w:gridSpan w:val="2"/>
          </w:tcPr>
          <w:p w14:paraId="6FDAD160" w14:textId="77777777" w:rsidR="0002640D" w:rsidRPr="00E86FB4" w:rsidRDefault="0002640D" w:rsidP="0002640D">
            <w:pPr>
              <w:widowControl/>
              <w:tabs>
                <w:tab w:val="left" w:pos="123"/>
              </w:tabs>
              <w:ind w:left="99" w:hanging="99"/>
              <w:rPr>
                <w:bCs/>
                <w:sz w:val="18"/>
              </w:rPr>
            </w:pPr>
          </w:p>
        </w:tc>
      </w:tr>
      <w:tr w:rsidR="0002640D" w:rsidRPr="00E86FB4" w14:paraId="648B23D4" w14:textId="77777777" w:rsidTr="0002640D">
        <w:tc>
          <w:tcPr>
            <w:tcW w:w="647" w:type="dxa"/>
          </w:tcPr>
          <w:p w14:paraId="510C9564" w14:textId="77777777" w:rsidR="0002640D" w:rsidRPr="00E86FB4" w:rsidRDefault="0002640D" w:rsidP="0002640D">
            <w:pPr>
              <w:widowControl/>
              <w:ind w:left="99" w:hanging="99"/>
              <w:rPr>
                <w:bCs/>
                <w:sz w:val="18"/>
              </w:rPr>
            </w:pPr>
          </w:p>
        </w:tc>
        <w:tc>
          <w:tcPr>
            <w:tcW w:w="1798" w:type="dxa"/>
          </w:tcPr>
          <w:p w14:paraId="6ACBFF7B" w14:textId="77777777" w:rsidR="0002640D" w:rsidRPr="00E86FB4" w:rsidRDefault="0002640D" w:rsidP="0002640D">
            <w:pPr>
              <w:pStyle w:val="Table2"/>
              <w:ind w:left="99" w:hanging="99"/>
            </w:pPr>
            <w:r w:rsidRPr="00E86FB4">
              <w:t>220 221 222 223 224 225 228</w:t>
            </w:r>
          </w:p>
        </w:tc>
        <w:tc>
          <w:tcPr>
            <w:tcW w:w="2883" w:type="dxa"/>
          </w:tcPr>
          <w:p w14:paraId="2F150FF0" w14:textId="77777777" w:rsidR="0002640D" w:rsidRPr="00E86FB4" w:rsidRDefault="0002640D" w:rsidP="0002640D">
            <w:pPr>
              <w:pStyle w:val="Table2"/>
              <w:ind w:left="99" w:hanging="99"/>
            </w:pPr>
            <w:r w:rsidRPr="00E86FB4">
              <w:t>Sulphur dioxide and sodium and potassium sulphites</w:t>
            </w:r>
          </w:p>
        </w:tc>
        <w:tc>
          <w:tcPr>
            <w:tcW w:w="729" w:type="dxa"/>
            <w:gridSpan w:val="2"/>
          </w:tcPr>
          <w:p w14:paraId="56114693" w14:textId="77777777" w:rsidR="0002640D" w:rsidRPr="00E86FB4" w:rsidRDefault="0002640D" w:rsidP="0002640D">
            <w:pPr>
              <w:pStyle w:val="Table2"/>
              <w:ind w:left="99" w:hanging="99"/>
            </w:pPr>
            <w:r w:rsidRPr="00E86FB4">
              <w:t>115</w:t>
            </w:r>
          </w:p>
        </w:tc>
        <w:tc>
          <w:tcPr>
            <w:tcW w:w="710" w:type="dxa"/>
          </w:tcPr>
          <w:p w14:paraId="6FCD4DD1" w14:textId="77777777" w:rsidR="0002640D" w:rsidRPr="00E86FB4" w:rsidRDefault="0002640D" w:rsidP="0002640D">
            <w:pPr>
              <w:pStyle w:val="Table2"/>
              <w:ind w:left="99" w:hanging="99"/>
            </w:pPr>
            <w:r w:rsidRPr="00E86FB4">
              <w:t>mg/kg</w:t>
            </w:r>
          </w:p>
        </w:tc>
        <w:tc>
          <w:tcPr>
            <w:tcW w:w="543" w:type="dxa"/>
          </w:tcPr>
          <w:p w14:paraId="322F31A7" w14:textId="77777777" w:rsidR="0002640D" w:rsidRPr="00E86FB4" w:rsidRDefault="0002640D" w:rsidP="0002640D">
            <w:pPr>
              <w:pStyle w:val="Table2"/>
              <w:ind w:left="99" w:hanging="99"/>
            </w:pPr>
          </w:p>
        </w:tc>
        <w:tc>
          <w:tcPr>
            <w:tcW w:w="1935" w:type="dxa"/>
            <w:gridSpan w:val="2"/>
          </w:tcPr>
          <w:p w14:paraId="5790AEB4" w14:textId="77777777" w:rsidR="0002640D" w:rsidRPr="00E86FB4" w:rsidRDefault="0002640D" w:rsidP="0002640D">
            <w:pPr>
              <w:widowControl/>
              <w:tabs>
                <w:tab w:val="left" w:pos="123"/>
              </w:tabs>
              <w:ind w:left="99" w:hanging="99"/>
              <w:rPr>
                <w:bCs/>
                <w:sz w:val="18"/>
              </w:rPr>
            </w:pPr>
          </w:p>
        </w:tc>
      </w:tr>
      <w:tr w:rsidR="0002640D" w:rsidRPr="00E86FB4" w14:paraId="1C9B04D6" w14:textId="77777777" w:rsidTr="0002640D">
        <w:tc>
          <w:tcPr>
            <w:tcW w:w="647" w:type="dxa"/>
          </w:tcPr>
          <w:p w14:paraId="48EA6032" w14:textId="77777777" w:rsidR="0002640D" w:rsidRPr="00E86FB4" w:rsidRDefault="0002640D" w:rsidP="0002640D">
            <w:pPr>
              <w:widowControl/>
              <w:ind w:left="99" w:hanging="99"/>
              <w:rPr>
                <w:bCs/>
                <w:sz w:val="18"/>
              </w:rPr>
            </w:pPr>
          </w:p>
        </w:tc>
        <w:tc>
          <w:tcPr>
            <w:tcW w:w="1798" w:type="dxa"/>
          </w:tcPr>
          <w:p w14:paraId="62793262" w14:textId="77777777" w:rsidR="0002640D" w:rsidRPr="00E86FB4" w:rsidRDefault="0002640D" w:rsidP="0002640D">
            <w:pPr>
              <w:pStyle w:val="Table2"/>
              <w:ind w:left="99" w:hanging="99"/>
            </w:pPr>
            <w:r w:rsidRPr="00E86FB4">
              <w:t>243</w:t>
            </w:r>
          </w:p>
        </w:tc>
        <w:tc>
          <w:tcPr>
            <w:tcW w:w="2883" w:type="dxa"/>
          </w:tcPr>
          <w:p w14:paraId="5E8EB9BC" w14:textId="77777777" w:rsidR="0002640D" w:rsidRPr="00E86FB4" w:rsidRDefault="0002640D" w:rsidP="0002640D">
            <w:pPr>
              <w:pStyle w:val="Table2"/>
              <w:ind w:left="99" w:hanging="99"/>
            </w:pPr>
            <w:r w:rsidRPr="00E86FB4">
              <w:t>Ethyl lauroyl arginate</w:t>
            </w:r>
          </w:p>
        </w:tc>
        <w:tc>
          <w:tcPr>
            <w:tcW w:w="729" w:type="dxa"/>
            <w:gridSpan w:val="2"/>
          </w:tcPr>
          <w:p w14:paraId="24783CDC" w14:textId="77777777" w:rsidR="0002640D" w:rsidRPr="00E86FB4" w:rsidRDefault="0002640D" w:rsidP="0002640D">
            <w:pPr>
              <w:pStyle w:val="Table2"/>
              <w:ind w:left="99" w:hanging="99"/>
            </w:pPr>
            <w:r w:rsidRPr="00E86FB4">
              <w:t>50</w:t>
            </w:r>
          </w:p>
        </w:tc>
        <w:tc>
          <w:tcPr>
            <w:tcW w:w="710" w:type="dxa"/>
          </w:tcPr>
          <w:p w14:paraId="33C39C6A" w14:textId="77777777" w:rsidR="0002640D" w:rsidRPr="00E86FB4" w:rsidRDefault="0002640D" w:rsidP="0002640D">
            <w:pPr>
              <w:pStyle w:val="Table2"/>
              <w:ind w:left="99" w:hanging="99"/>
              <w:rPr>
                <w:szCs w:val="18"/>
              </w:rPr>
            </w:pPr>
            <w:r w:rsidRPr="00E86FB4">
              <w:rPr>
                <w:szCs w:val="18"/>
              </w:rPr>
              <w:t>mg/kg</w:t>
            </w:r>
          </w:p>
        </w:tc>
        <w:tc>
          <w:tcPr>
            <w:tcW w:w="543" w:type="dxa"/>
          </w:tcPr>
          <w:p w14:paraId="725455D6" w14:textId="77777777" w:rsidR="0002640D" w:rsidRPr="00E86FB4" w:rsidRDefault="0002640D" w:rsidP="0002640D">
            <w:pPr>
              <w:pStyle w:val="Table2"/>
              <w:ind w:left="99" w:hanging="99"/>
            </w:pPr>
          </w:p>
        </w:tc>
        <w:tc>
          <w:tcPr>
            <w:tcW w:w="1935" w:type="dxa"/>
            <w:gridSpan w:val="2"/>
          </w:tcPr>
          <w:p w14:paraId="286DEFF3" w14:textId="77777777" w:rsidR="0002640D" w:rsidRPr="00E86FB4" w:rsidRDefault="0002640D" w:rsidP="0002640D">
            <w:pPr>
              <w:widowControl/>
              <w:tabs>
                <w:tab w:val="left" w:pos="123"/>
              </w:tabs>
              <w:ind w:left="99" w:hanging="99"/>
              <w:rPr>
                <w:bCs/>
                <w:sz w:val="16"/>
                <w:szCs w:val="16"/>
              </w:rPr>
            </w:pPr>
          </w:p>
        </w:tc>
      </w:tr>
      <w:tr w:rsidR="0002640D" w:rsidRPr="00E86FB4" w14:paraId="5ACA24E8" w14:textId="77777777" w:rsidTr="0002640D">
        <w:trPr>
          <w:cantSplit/>
        </w:trPr>
        <w:tc>
          <w:tcPr>
            <w:tcW w:w="647" w:type="dxa"/>
          </w:tcPr>
          <w:p w14:paraId="02154B21" w14:textId="77777777" w:rsidR="0002640D" w:rsidRPr="00E86FB4" w:rsidRDefault="0002640D" w:rsidP="0002640D">
            <w:pPr>
              <w:widowControl/>
              <w:ind w:left="99" w:hanging="99"/>
              <w:rPr>
                <w:bCs/>
                <w:sz w:val="18"/>
              </w:rPr>
            </w:pPr>
          </w:p>
        </w:tc>
        <w:tc>
          <w:tcPr>
            <w:tcW w:w="1798" w:type="dxa"/>
          </w:tcPr>
          <w:p w14:paraId="05EFEC1C" w14:textId="77777777" w:rsidR="0002640D" w:rsidRPr="00E86FB4" w:rsidRDefault="0002640D" w:rsidP="0002640D">
            <w:pPr>
              <w:pStyle w:val="Table2"/>
              <w:ind w:left="99" w:hanging="99"/>
            </w:pPr>
            <w:r w:rsidRPr="00E86FB4">
              <w:t>385</w:t>
            </w:r>
          </w:p>
        </w:tc>
        <w:tc>
          <w:tcPr>
            <w:tcW w:w="2883" w:type="dxa"/>
          </w:tcPr>
          <w:p w14:paraId="6041ADB6" w14:textId="77777777" w:rsidR="0002640D" w:rsidRPr="00E86FB4" w:rsidRDefault="0002640D" w:rsidP="0002640D">
            <w:pPr>
              <w:pStyle w:val="Table2"/>
              <w:ind w:left="99" w:hanging="99"/>
            </w:pPr>
            <w:r w:rsidRPr="00E86FB4">
              <w:t>Calcium disodium EDTA</w:t>
            </w:r>
          </w:p>
        </w:tc>
        <w:tc>
          <w:tcPr>
            <w:tcW w:w="729" w:type="dxa"/>
            <w:gridSpan w:val="2"/>
          </w:tcPr>
          <w:p w14:paraId="52B21126" w14:textId="77777777" w:rsidR="0002640D" w:rsidRPr="00E86FB4" w:rsidRDefault="0002640D" w:rsidP="0002640D">
            <w:pPr>
              <w:pStyle w:val="Table2"/>
              <w:ind w:left="99" w:hanging="99"/>
            </w:pPr>
            <w:r w:rsidRPr="00E86FB4">
              <w:t>33</w:t>
            </w:r>
          </w:p>
        </w:tc>
        <w:tc>
          <w:tcPr>
            <w:tcW w:w="710" w:type="dxa"/>
          </w:tcPr>
          <w:p w14:paraId="1448BAE5" w14:textId="77777777" w:rsidR="0002640D" w:rsidRPr="00E86FB4" w:rsidRDefault="0002640D" w:rsidP="0002640D">
            <w:pPr>
              <w:pStyle w:val="Table2"/>
              <w:ind w:left="99" w:hanging="99"/>
            </w:pPr>
            <w:r w:rsidRPr="00E86FB4">
              <w:t>mg/kg</w:t>
            </w:r>
          </w:p>
        </w:tc>
        <w:tc>
          <w:tcPr>
            <w:tcW w:w="543" w:type="dxa"/>
          </w:tcPr>
          <w:p w14:paraId="45369FBC" w14:textId="77777777" w:rsidR="0002640D" w:rsidRPr="00E86FB4" w:rsidRDefault="0002640D" w:rsidP="0002640D">
            <w:pPr>
              <w:pStyle w:val="Table2"/>
              <w:ind w:left="99" w:hanging="99"/>
            </w:pPr>
          </w:p>
        </w:tc>
        <w:tc>
          <w:tcPr>
            <w:tcW w:w="1935" w:type="dxa"/>
            <w:gridSpan w:val="2"/>
          </w:tcPr>
          <w:p w14:paraId="5B9AC025" w14:textId="77777777" w:rsidR="0002640D" w:rsidRPr="00EC184B" w:rsidRDefault="0002640D" w:rsidP="0002640D">
            <w:pPr>
              <w:pStyle w:val="Table2"/>
              <w:ind w:left="99" w:hanging="99"/>
              <w:rPr>
                <w:sz w:val="16"/>
              </w:rPr>
            </w:pPr>
            <w:r w:rsidRPr="00EC184B">
              <w:rPr>
                <w:sz w:val="16"/>
              </w:rPr>
              <w:t>products containing fruit flavouring, juice or pulp or orange peel extract only</w:t>
            </w:r>
          </w:p>
        </w:tc>
      </w:tr>
      <w:tr w:rsidR="0002640D" w:rsidRPr="00E86FB4" w14:paraId="53A08049" w14:textId="77777777" w:rsidTr="0002640D">
        <w:tc>
          <w:tcPr>
            <w:tcW w:w="647" w:type="dxa"/>
          </w:tcPr>
          <w:p w14:paraId="17F6AD7A" w14:textId="77777777" w:rsidR="0002640D" w:rsidRPr="00E86FB4" w:rsidRDefault="0002640D" w:rsidP="0002640D">
            <w:pPr>
              <w:widowControl/>
              <w:ind w:left="99" w:hanging="99"/>
              <w:rPr>
                <w:bCs/>
                <w:sz w:val="18"/>
              </w:rPr>
            </w:pPr>
          </w:p>
        </w:tc>
        <w:tc>
          <w:tcPr>
            <w:tcW w:w="1798" w:type="dxa"/>
          </w:tcPr>
          <w:p w14:paraId="6D69E8F3" w14:textId="77777777" w:rsidR="0002640D" w:rsidRPr="00E86FB4" w:rsidRDefault="0002640D" w:rsidP="0002640D">
            <w:pPr>
              <w:pStyle w:val="Table2"/>
              <w:ind w:left="99" w:hanging="99"/>
            </w:pPr>
            <w:r w:rsidRPr="00E86FB4">
              <w:t>444</w:t>
            </w:r>
          </w:p>
        </w:tc>
        <w:tc>
          <w:tcPr>
            <w:tcW w:w="2883" w:type="dxa"/>
          </w:tcPr>
          <w:p w14:paraId="131AA4FF" w14:textId="77777777" w:rsidR="0002640D" w:rsidRPr="00E86FB4" w:rsidRDefault="0002640D" w:rsidP="0002640D">
            <w:pPr>
              <w:pStyle w:val="Table2"/>
              <w:ind w:left="99" w:hanging="99"/>
            </w:pPr>
            <w:r w:rsidRPr="00E86FB4">
              <w:t>Sucrose acetate isobutyrate</w:t>
            </w:r>
          </w:p>
        </w:tc>
        <w:tc>
          <w:tcPr>
            <w:tcW w:w="729" w:type="dxa"/>
            <w:gridSpan w:val="2"/>
          </w:tcPr>
          <w:p w14:paraId="003881B7" w14:textId="77777777" w:rsidR="0002640D" w:rsidRPr="00E86FB4" w:rsidRDefault="0002640D" w:rsidP="0002640D">
            <w:pPr>
              <w:pStyle w:val="Table2"/>
              <w:ind w:left="99" w:hanging="99"/>
            </w:pPr>
            <w:r w:rsidRPr="00E86FB4">
              <w:t>200</w:t>
            </w:r>
          </w:p>
        </w:tc>
        <w:tc>
          <w:tcPr>
            <w:tcW w:w="710" w:type="dxa"/>
          </w:tcPr>
          <w:p w14:paraId="12D4EA01" w14:textId="77777777" w:rsidR="0002640D" w:rsidRPr="00E86FB4" w:rsidRDefault="0002640D" w:rsidP="0002640D">
            <w:pPr>
              <w:pStyle w:val="Table2"/>
              <w:ind w:left="99" w:hanging="99"/>
            </w:pPr>
            <w:r w:rsidRPr="00E86FB4">
              <w:t>mg/kg</w:t>
            </w:r>
          </w:p>
        </w:tc>
        <w:tc>
          <w:tcPr>
            <w:tcW w:w="543" w:type="dxa"/>
          </w:tcPr>
          <w:p w14:paraId="0D21D566" w14:textId="77777777" w:rsidR="0002640D" w:rsidRPr="00E86FB4" w:rsidRDefault="0002640D" w:rsidP="0002640D">
            <w:pPr>
              <w:pStyle w:val="Table2"/>
              <w:ind w:left="99" w:hanging="99"/>
            </w:pPr>
          </w:p>
        </w:tc>
        <w:tc>
          <w:tcPr>
            <w:tcW w:w="1935" w:type="dxa"/>
            <w:gridSpan w:val="2"/>
          </w:tcPr>
          <w:p w14:paraId="66047244" w14:textId="77777777" w:rsidR="0002640D" w:rsidRPr="00E86FB4" w:rsidRDefault="0002640D" w:rsidP="0002640D">
            <w:pPr>
              <w:widowControl/>
              <w:tabs>
                <w:tab w:val="left" w:pos="123"/>
              </w:tabs>
              <w:ind w:left="99" w:hanging="99"/>
              <w:rPr>
                <w:bCs/>
                <w:sz w:val="18"/>
              </w:rPr>
            </w:pPr>
          </w:p>
        </w:tc>
      </w:tr>
      <w:tr w:rsidR="0002640D" w:rsidRPr="00E86FB4" w14:paraId="5F44D7C0" w14:textId="77777777" w:rsidTr="0002640D">
        <w:tc>
          <w:tcPr>
            <w:tcW w:w="647" w:type="dxa"/>
          </w:tcPr>
          <w:p w14:paraId="4F665DEA" w14:textId="77777777" w:rsidR="0002640D" w:rsidRPr="00E86FB4" w:rsidRDefault="0002640D" w:rsidP="0002640D">
            <w:pPr>
              <w:widowControl/>
              <w:ind w:left="99" w:hanging="99"/>
              <w:rPr>
                <w:bCs/>
                <w:sz w:val="18"/>
              </w:rPr>
            </w:pPr>
          </w:p>
        </w:tc>
        <w:tc>
          <w:tcPr>
            <w:tcW w:w="1798" w:type="dxa"/>
          </w:tcPr>
          <w:p w14:paraId="252DBB57" w14:textId="77777777" w:rsidR="0002640D" w:rsidRPr="00E86FB4" w:rsidRDefault="0002640D" w:rsidP="0002640D">
            <w:pPr>
              <w:pStyle w:val="Table2"/>
              <w:ind w:left="99" w:hanging="99"/>
            </w:pPr>
            <w:r w:rsidRPr="00E86FB4">
              <w:t>445</w:t>
            </w:r>
          </w:p>
        </w:tc>
        <w:tc>
          <w:tcPr>
            <w:tcW w:w="2883" w:type="dxa"/>
          </w:tcPr>
          <w:p w14:paraId="6678D092" w14:textId="77777777" w:rsidR="0002640D" w:rsidRPr="00E86FB4" w:rsidRDefault="0002640D" w:rsidP="0002640D">
            <w:pPr>
              <w:pStyle w:val="Table2"/>
              <w:ind w:left="99" w:hanging="99"/>
            </w:pPr>
            <w:r w:rsidRPr="00E86FB4">
              <w:t>Glycerol esters of wood rosins</w:t>
            </w:r>
          </w:p>
        </w:tc>
        <w:tc>
          <w:tcPr>
            <w:tcW w:w="729" w:type="dxa"/>
            <w:gridSpan w:val="2"/>
          </w:tcPr>
          <w:p w14:paraId="43E65452" w14:textId="77777777" w:rsidR="0002640D" w:rsidRPr="00E86FB4" w:rsidRDefault="0002640D" w:rsidP="0002640D">
            <w:pPr>
              <w:pStyle w:val="Table2"/>
              <w:ind w:left="99" w:hanging="99"/>
            </w:pPr>
            <w:r w:rsidRPr="00E86FB4">
              <w:t>100</w:t>
            </w:r>
          </w:p>
        </w:tc>
        <w:tc>
          <w:tcPr>
            <w:tcW w:w="710" w:type="dxa"/>
          </w:tcPr>
          <w:p w14:paraId="763D9B1D" w14:textId="77777777" w:rsidR="0002640D" w:rsidRPr="00E86FB4" w:rsidRDefault="0002640D" w:rsidP="0002640D">
            <w:pPr>
              <w:pStyle w:val="Table2"/>
              <w:ind w:left="99" w:hanging="99"/>
            </w:pPr>
            <w:r w:rsidRPr="00E86FB4">
              <w:t>mg/kg</w:t>
            </w:r>
          </w:p>
        </w:tc>
        <w:tc>
          <w:tcPr>
            <w:tcW w:w="543" w:type="dxa"/>
          </w:tcPr>
          <w:p w14:paraId="347492C2" w14:textId="77777777" w:rsidR="0002640D" w:rsidRPr="00E86FB4" w:rsidRDefault="0002640D" w:rsidP="0002640D">
            <w:pPr>
              <w:pStyle w:val="Table2"/>
              <w:ind w:left="99" w:hanging="99"/>
            </w:pPr>
          </w:p>
        </w:tc>
        <w:tc>
          <w:tcPr>
            <w:tcW w:w="1935" w:type="dxa"/>
            <w:gridSpan w:val="2"/>
          </w:tcPr>
          <w:p w14:paraId="772EF39D" w14:textId="77777777" w:rsidR="0002640D" w:rsidRPr="00E86FB4" w:rsidRDefault="0002640D" w:rsidP="0002640D">
            <w:pPr>
              <w:widowControl/>
              <w:tabs>
                <w:tab w:val="left" w:pos="123"/>
              </w:tabs>
              <w:ind w:left="99" w:hanging="99"/>
              <w:rPr>
                <w:bCs/>
                <w:sz w:val="18"/>
              </w:rPr>
            </w:pPr>
          </w:p>
        </w:tc>
      </w:tr>
      <w:tr w:rsidR="0002640D" w:rsidRPr="00E86FB4" w14:paraId="398AD0C6" w14:textId="77777777" w:rsidTr="0002640D">
        <w:tc>
          <w:tcPr>
            <w:tcW w:w="647" w:type="dxa"/>
          </w:tcPr>
          <w:p w14:paraId="6F15DB8E" w14:textId="77777777" w:rsidR="0002640D" w:rsidRPr="00E86FB4" w:rsidRDefault="0002640D" w:rsidP="0002640D">
            <w:pPr>
              <w:widowControl/>
              <w:ind w:left="99" w:hanging="99"/>
              <w:rPr>
                <w:bCs/>
                <w:sz w:val="18"/>
              </w:rPr>
            </w:pPr>
          </w:p>
        </w:tc>
        <w:tc>
          <w:tcPr>
            <w:tcW w:w="1798" w:type="dxa"/>
          </w:tcPr>
          <w:p w14:paraId="3494CBA0" w14:textId="77777777" w:rsidR="0002640D" w:rsidRPr="00E86FB4" w:rsidRDefault="0002640D" w:rsidP="0002640D">
            <w:pPr>
              <w:pStyle w:val="Table2"/>
              <w:ind w:left="99" w:hanging="99"/>
            </w:pPr>
            <w:r w:rsidRPr="00E86FB4">
              <w:t>480</w:t>
            </w:r>
          </w:p>
        </w:tc>
        <w:tc>
          <w:tcPr>
            <w:tcW w:w="2883" w:type="dxa"/>
          </w:tcPr>
          <w:p w14:paraId="4B548879" w14:textId="77777777" w:rsidR="0002640D" w:rsidRPr="00E86FB4" w:rsidRDefault="0002640D" w:rsidP="0002640D">
            <w:pPr>
              <w:pStyle w:val="Table2"/>
              <w:ind w:left="99" w:hanging="99"/>
            </w:pPr>
            <w:r w:rsidRPr="00E86FB4">
              <w:t>Dioctyl sodium sulphosuccinate</w:t>
            </w:r>
          </w:p>
        </w:tc>
        <w:tc>
          <w:tcPr>
            <w:tcW w:w="729" w:type="dxa"/>
            <w:gridSpan w:val="2"/>
          </w:tcPr>
          <w:p w14:paraId="05047183" w14:textId="77777777" w:rsidR="0002640D" w:rsidRPr="00E86FB4" w:rsidRDefault="0002640D" w:rsidP="0002640D">
            <w:pPr>
              <w:pStyle w:val="Table2"/>
              <w:ind w:left="99" w:hanging="99"/>
            </w:pPr>
            <w:r w:rsidRPr="00E86FB4">
              <w:t>10</w:t>
            </w:r>
          </w:p>
        </w:tc>
        <w:tc>
          <w:tcPr>
            <w:tcW w:w="710" w:type="dxa"/>
          </w:tcPr>
          <w:p w14:paraId="1683631E" w14:textId="77777777" w:rsidR="0002640D" w:rsidRPr="00E86FB4" w:rsidRDefault="0002640D" w:rsidP="0002640D">
            <w:pPr>
              <w:pStyle w:val="Table2"/>
              <w:ind w:left="99" w:hanging="99"/>
            </w:pPr>
            <w:r w:rsidRPr="00E86FB4">
              <w:t>mg/kg</w:t>
            </w:r>
          </w:p>
        </w:tc>
        <w:tc>
          <w:tcPr>
            <w:tcW w:w="543" w:type="dxa"/>
          </w:tcPr>
          <w:p w14:paraId="497E3609" w14:textId="77777777" w:rsidR="0002640D" w:rsidRPr="00E86FB4" w:rsidRDefault="0002640D" w:rsidP="0002640D">
            <w:pPr>
              <w:pStyle w:val="Table2"/>
              <w:ind w:left="99" w:hanging="99"/>
            </w:pPr>
          </w:p>
        </w:tc>
        <w:tc>
          <w:tcPr>
            <w:tcW w:w="1935" w:type="dxa"/>
            <w:gridSpan w:val="2"/>
          </w:tcPr>
          <w:p w14:paraId="09EBE3B2" w14:textId="77777777" w:rsidR="0002640D" w:rsidRPr="00E86FB4" w:rsidRDefault="0002640D" w:rsidP="0002640D">
            <w:pPr>
              <w:widowControl/>
              <w:tabs>
                <w:tab w:val="left" w:pos="123"/>
              </w:tabs>
              <w:ind w:left="99" w:hanging="99"/>
              <w:rPr>
                <w:bCs/>
                <w:sz w:val="18"/>
              </w:rPr>
            </w:pPr>
          </w:p>
        </w:tc>
      </w:tr>
      <w:tr w:rsidR="0002640D" w:rsidRPr="00E86FB4" w14:paraId="548E2540" w14:textId="77777777" w:rsidTr="0002640D">
        <w:tc>
          <w:tcPr>
            <w:tcW w:w="647" w:type="dxa"/>
          </w:tcPr>
          <w:p w14:paraId="1D77FCBF" w14:textId="77777777" w:rsidR="0002640D" w:rsidRPr="00E86FB4" w:rsidRDefault="0002640D" w:rsidP="0002640D">
            <w:pPr>
              <w:widowControl/>
              <w:ind w:left="99" w:hanging="99"/>
              <w:rPr>
                <w:bCs/>
                <w:sz w:val="18"/>
              </w:rPr>
            </w:pPr>
          </w:p>
        </w:tc>
        <w:tc>
          <w:tcPr>
            <w:tcW w:w="1798" w:type="dxa"/>
          </w:tcPr>
          <w:p w14:paraId="1F27E36F" w14:textId="77777777" w:rsidR="0002640D" w:rsidRPr="007B5F1B" w:rsidRDefault="0002640D" w:rsidP="0002640D">
            <w:pPr>
              <w:pStyle w:val="Table2"/>
              <w:ind w:left="99" w:hanging="99"/>
            </w:pPr>
            <w:r w:rsidRPr="007B5F1B">
              <w:t>950</w:t>
            </w:r>
          </w:p>
        </w:tc>
        <w:tc>
          <w:tcPr>
            <w:tcW w:w="2883" w:type="dxa"/>
          </w:tcPr>
          <w:p w14:paraId="584CEE11" w14:textId="77777777" w:rsidR="0002640D" w:rsidRPr="007B5F1B" w:rsidRDefault="0002640D" w:rsidP="0002640D">
            <w:pPr>
              <w:pStyle w:val="Table2"/>
              <w:ind w:left="99" w:hanging="99"/>
            </w:pPr>
            <w:r w:rsidRPr="007B5F1B">
              <w:t>Acesulphame potassium</w:t>
            </w:r>
          </w:p>
        </w:tc>
        <w:tc>
          <w:tcPr>
            <w:tcW w:w="729" w:type="dxa"/>
            <w:gridSpan w:val="2"/>
          </w:tcPr>
          <w:p w14:paraId="1A55ECBA" w14:textId="77777777" w:rsidR="0002640D" w:rsidRPr="007B5F1B" w:rsidRDefault="0002640D" w:rsidP="0002640D">
            <w:pPr>
              <w:pStyle w:val="Table2"/>
              <w:ind w:left="99" w:hanging="99"/>
            </w:pPr>
            <w:r w:rsidRPr="007B5F1B">
              <w:t>150</w:t>
            </w:r>
          </w:p>
        </w:tc>
        <w:tc>
          <w:tcPr>
            <w:tcW w:w="710" w:type="dxa"/>
          </w:tcPr>
          <w:p w14:paraId="6D675A48" w14:textId="77777777" w:rsidR="0002640D" w:rsidRPr="007B5F1B" w:rsidRDefault="0002640D" w:rsidP="0002640D">
            <w:pPr>
              <w:pStyle w:val="Table2"/>
              <w:ind w:left="99" w:hanging="99"/>
            </w:pPr>
            <w:r w:rsidRPr="007B5F1B">
              <w:t>mg/kg</w:t>
            </w:r>
          </w:p>
        </w:tc>
        <w:tc>
          <w:tcPr>
            <w:tcW w:w="543" w:type="dxa"/>
          </w:tcPr>
          <w:p w14:paraId="30FF7DA2" w14:textId="77777777" w:rsidR="0002640D" w:rsidRPr="007B5F1B" w:rsidRDefault="0002640D" w:rsidP="0002640D">
            <w:pPr>
              <w:pStyle w:val="Table2"/>
              <w:ind w:left="99" w:hanging="99"/>
              <w:rPr>
                <w:b/>
              </w:rPr>
            </w:pPr>
          </w:p>
        </w:tc>
        <w:tc>
          <w:tcPr>
            <w:tcW w:w="1935" w:type="dxa"/>
            <w:gridSpan w:val="2"/>
          </w:tcPr>
          <w:p w14:paraId="548384E5" w14:textId="77777777" w:rsidR="0002640D" w:rsidRPr="007B5F1B" w:rsidRDefault="0002640D" w:rsidP="0002640D">
            <w:pPr>
              <w:widowControl/>
              <w:ind w:left="99" w:hanging="99"/>
              <w:rPr>
                <w:bCs/>
                <w:sz w:val="18"/>
              </w:rPr>
            </w:pPr>
          </w:p>
        </w:tc>
      </w:tr>
      <w:tr w:rsidR="0002640D" w:rsidRPr="00E86FB4" w14:paraId="2D8189AD" w14:textId="77777777" w:rsidTr="0002640D">
        <w:trPr>
          <w:cantSplit/>
        </w:trPr>
        <w:tc>
          <w:tcPr>
            <w:tcW w:w="647" w:type="dxa"/>
            <w:shd w:val="clear" w:color="auto" w:fill="auto"/>
          </w:tcPr>
          <w:p w14:paraId="6C37DCD7" w14:textId="77777777" w:rsidR="0002640D" w:rsidRPr="00E86FB4" w:rsidRDefault="0002640D" w:rsidP="0002640D">
            <w:pPr>
              <w:widowControl/>
              <w:ind w:left="99" w:hanging="99"/>
              <w:rPr>
                <w:bCs/>
                <w:sz w:val="18"/>
              </w:rPr>
            </w:pPr>
          </w:p>
        </w:tc>
        <w:tc>
          <w:tcPr>
            <w:tcW w:w="1798" w:type="dxa"/>
            <w:shd w:val="clear" w:color="auto" w:fill="auto"/>
          </w:tcPr>
          <w:p w14:paraId="36202715" w14:textId="77777777" w:rsidR="0002640D" w:rsidRPr="007B5F1B" w:rsidRDefault="0002640D" w:rsidP="0002640D">
            <w:pPr>
              <w:pStyle w:val="Table2"/>
              <w:ind w:left="99" w:hanging="99"/>
            </w:pPr>
            <w:r>
              <w:t>951</w:t>
            </w:r>
          </w:p>
        </w:tc>
        <w:tc>
          <w:tcPr>
            <w:tcW w:w="2883" w:type="dxa"/>
            <w:shd w:val="clear" w:color="auto" w:fill="auto"/>
          </w:tcPr>
          <w:p w14:paraId="0A881797" w14:textId="77777777" w:rsidR="0002640D" w:rsidRPr="007B5F1B" w:rsidRDefault="0002640D" w:rsidP="0002640D">
            <w:pPr>
              <w:pStyle w:val="Table2"/>
              <w:ind w:left="99" w:hanging="99"/>
            </w:pPr>
            <w:r w:rsidRPr="007B5F1B">
              <w:t>Aspartame</w:t>
            </w:r>
          </w:p>
        </w:tc>
        <w:tc>
          <w:tcPr>
            <w:tcW w:w="729" w:type="dxa"/>
            <w:gridSpan w:val="2"/>
            <w:shd w:val="clear" w:color="auto" w:fill="auto"/>
          </w:tcPr>
          <w:p w14:paraId="21FDAFDC" w14:textId="77777777" w:rsidR="0002640D" w:rsidRPr="007B5F1B" w:rsidRDefault="0002640D" w:rsidP="0002640D">
            <w:pPr>
              <w:pStyle w:val="Table2"/>
              <w:ind w:left="99" w:hanging="99"/>
            </w:pPr>
            <w:r w:rsidRPr="007B5F1B">
              <w:t>150</w:t>
            </w:r>
          </w:p>
        </w:tc>
        <w:tc>
          <w:tcPr>
            <w:tcW w:w="710" w:type="dxa"/>
            <w:shd w:val="clear" w:color="auto" w:fill="auto"/>
          </w:tcPr>
          <w:p w14:paraId="1C5040A6" w14:textId="77777777" w:rsidR="0002640D" w:rsidRPr="007B5F1B" w:rsidRDefault="0002640D" w:rsidP="0002640D">
            <w:pPr>
              <w:pStyle w:val="Table2"/>
              <w:ind w:left="99" w:hanging="99"/>
            </w:pPr>
            <w:r w:rsidRPr="007B5F1B">
              <w:t>mg/kg</w:t>
            </w:r>
          </w:p>
        </w:tc>
        <w:tc>
          <w:tcPr>
            <w:tcW w:w="543" w:type="dxa"/>
            <w:shd w:val="clear" w:color="auto" w:fill="auto"/>
          </w:tcPr>
          <w:p w14:paraId="4DCCDCD9" w14:textId="77777777" w:rsidR="0002640D" w:rsidRPr="007B5F1B" w:rsidRDefault="0002640D" w:rsidP="0002640D">
            <w:pPr>
              <w:pStyle w:val="Table2"/>
              <w:ind w:left="99" w:hanging="99"/>
            </w:pPr>
          </w:p>
        </w:tc>
        <w:tc>
          <w:tcPr>
            <w:tcW w:w="1935" w:type="dxa"/>
            <w:gridSpan w:val="2"/>
            <w:shd w:val="clear" w:color="auto" w:fill="auto"/>
          </w:tcPr>
          <w:p w14:paraId="474141AE" w14:textId="77777777" w:rsidR="0002640D" w:rsidRPr="007B5F1B" w:rsidRDefault="0002640D" w:rsidP="0002640D">
            <w:pPr>
              <w:widowControl/>
              <w:ind w:left="99" w:hanging="99"/>
              <w:rPr>
                <w:bCs/>
                <w:sz w:val="18"/>
              </w:rPr>
            </w:pPr>
          </w:p>
        </w:tc>
      </w:tr>
      <w:tr w:rsidR="0002640D" w:rsidRPr="00E86FB4" w14:paraId="70B2119C" w14:textId="77777777" w:rsidTr="0002640D">
        <w:tc>
          <w:tcPr>
            <w:tcW w:w="647" w:type="dxa"/>
          </w:tcPr>
          <w:p w14:paraId="5D8B870A" w14:textId="77777777" w:rsidR="0002640D" w:rsidRPr="00E86FB4" w:rsidRDefault="0002640D" w:rsidP="0002640D">
            <w:pPr>
              <w:widowControl/>
              <w:ind w:left="99" w:hanging="99"/>
              <w:rPr>
                <w:bCs/>
                <w:sz w:val="18"/>
              </w:rPr>
            </w:pPr>
          </w:p>
        </w:tc>
        <w:tc>
          <w:tcPr>
            <w:tcW w:w="1798" w:type="dxa"/>
          </w:tcPr>
          <w:p w14:paraId="4CC878A1" w14:textId="77777777" w:rsidR="0002640D" w:rsidRPr="00E86FB4" w:rsidRDefault="0002640D" w:rsidP="0002640D">
            <w:pPr>
              <w:pStyle w:val="Table2"/>
              <w:ind w:left="99" w:hanging="99"/>
            </w:pPr>
            <w:r w:rsidRPr="00E86FB4">
              <w:t>954</w:t>
            </w:r>
          </w:p>
        </w:tc>
        <w:tc>
          <w:tcPr>
            <w:tcW w:w="2883" w:type="dxa"/>
          </w:tcPr>
          <w:p w14:paraId="41C884D7" w14:textId="77777777" w:rsidR="0002640D" w:rsidRPr="00E86FB4" w:rsidRDefault="0002640D" w:rsidP="0002640D">
            <w:pPr>
              <w:pStyle w:val="Table2"/>
              <w:ind w:left="99" w:hanging="99"/>
            </w:pPr>
            <w:r w:rsidRPr="00E86FB4">
              <w:t>Saccharin</w:t>
            </w:r>
          </w:p>
        </w:tc>
        <w:tc>
          <w:tcPr>
            <w:tcW w:w="729" w:type="dxa"/>
            <w:gridSpan w:val="2"/>
          </w:tcPr>
          <w:p w14:paraId="449D0977" w14:textId="77777777" w:rsidR="0002640D" w:rsidRPr="00E86FB4" w:rsidRDefault="0002640D" w:rsidP="0002640D">
            <w:pPr>
              <w:pStyle w:val="Table2"/>
              <w:ind w:left="99" w:hanging="99"/>
            </w:pPr>
            <w:r w:rsidRPr="00E86FB4">
              <w:t>150</w:t>
            </w:r>
          </w:p>
        </w:tc>
        <w:tc>
          <w:tcPr>
            <w:tcW w:w="710" w:type="dxa"/>
          </w:tcPr>
          <w:p w14:paraId="57810082" w14:textId="77777777" w:rsidR="0002640D" w:rsidRPr="00E86FB4" w:rsidRDefault="0002640D" w:rsidP="0002640D">
            <w:pPr>
              <w:pStyle w:val="Table2"/>
              <w:ind w:left="99" w:hanging="99"/>
            </w:pPr>
            <w:r w:rsidRPr="00E86FB4">
              <w:t>mg/kg</w:t>
            </w:r>
          </w:p>
        </w:tc>
        <w:tc>
          <w:tcPr>
            <w:tcW w:w="543" w:type="dxa"/>
          </w:tcPr>
          <w:p w14:paraId="0AFD52BF" w14:textId="77777777" w:rsidR="0002640D" w:rsidRPr="00E86FB4" w:rsidRDefault="0002640D" w:rsidP="0002640D">
            <w:pPr>
              <w:pStyle w:val="Table2"/>
              <w:ind w:left="99" w:hanging="99"/>
            </w:pPr>
          </w:p>
        </w:tc>
        <w:tc>
          <w:tcPr>
            <w:tcW w:w="1935" w:type="dxa"/>
            <w:gridSpan w:val="2"/>
          </w:tcPr>
          <w:p w14:paraId="335C22DC" w14:textId="77777777" w:rsidR="0002640D" w:rsidRPr="00E86FB4" w:rsidRDefault="0002640D" w:rsidP="0002640D">
            <w:pPr>
              <w:widowControl/>
              <w:tabs>
                <w:tab w:val="left" w:pos="123"/>
              </w:tabs>
              <w:ind w:left="99" w:hanging="99"/>
              <w:rPr>
                <w:bCs/>
                <w:sz w:val="18"/>
              </w:rPr>
            </w:pPr>
          </w:p>
        </w:tc>
      </w:tr>
      <w:tr w:rsidR="0002640D" w:rsidRPr="00E86FB4" w14:paraId="0D92B541" w14:textId="77777777" w:rsidTr="0002640D">
        <w:tc>
          <w:tcPr>
            <w:tcW w:w="647" w:type="dxa"/>
          </w:tcPr>
          <w:p w14:paraId="7A5A76A5" w14:textId="77777777" w:rsidR="0002640D" w:rsidRPr="00E86FB4" w:rsidRDefault="0002640D" w:rsidP="0002640D">
            <w:pPr>
              <w:widowControl/>
              <w:ind w:left="99" w:hanging="99"/>
              <w:rPr>
                <w:bCs/>
                <w:sz w:val="18"/>
              </w:rPr>
            </w:pPr>
          </w:p>
        </w:tc>
        <w:tc>
          <w:tcPr>
            <w:tcW w:w="1798" w:type="dxa"/>
          </w:tcPr>
          <w:p w14:paraId="7B868436" w14:textId="77777777" w:rsidR="0002640D" w:rsidRPr="00E86FB4" w:rsidRDefault="0002640D" w:rsidP="0002640D">
            <w:pPr>
              <w:pStyle w:val="Table2"/>
              <w:ind w:left="99" w:hanging="99"/>
            </w:pPr>
            <w:r w:rsidRPr="00E86FB4">
              <w:t>956</w:t>
            </w:r>
          </w:p>
        </w:tc>
        <w:tc>
          <w:tcPr>
            <w:tcW w:w="2883" w:type="dxa"/>
          </w:tcPr>
          <w:p w14:paraId="728AF796" w14:textId="77777777" w:rsidR="0002640D" w:rsidRPr="00E86FB4" w:rsidRDefault="0002640D" w:rsidP="0002640D">
            <w:pPr>
              <w:pStyle w:val="Table2"/>
              <w:ind w:left="99" w:hanging="99"/>
            </w:pPr>
            <w:r w:rsidRPr="00E86FB4">
              <w:t>Alitame</w:t>
            </w:r>
          </w:p>
        </w:tc>
        <w:tc>
          <w:tcPr>
            <w:tcW w:w="729" w:type="dxa"/>
            <w:gridSpan w:val="2"/>
          </w:tcPr>
          <w:p w14:paraId="58492BF4" w14:textId="77777777" w:rsidR="0002640D" w:rsidRPr="00E86FB4" w:rsidRDefault="0002640D" w:rsidP="0002640D">
            <w:pPr>
              <w:pStyle w:val="Table2"/>
              <w:ind w:left="99" w:hanging="99"/>
            </w:pPr>
            <w:r w:rsidRPr="00E86FB4">
              <w:t>40</w:t>
            </w:r>
          </w:p>
        </w:tc>
        <w:tc>
          <w:tcPr>
            <w:tcW w:w="710" w:type="dxa"/>
          </w:tcPr>
          <w:p w14:paraId="0A28103A" w14:textId="77777777" w:rsidR="0002640D" w:rsidRPr="00E86FB4" w:rsidRDefault="0002640D" w:rsidP="0002640D">
            <w:pPr>
              <w:pStyle w:val="Table2"/>
              <w:ind w:left="99" w:hanging="99"/>
            </w:pPr>
            <w:r w:rsidRPr="00E86FB4">
              <w:t>mg/kg</w:t>
            </w:r>
          </w:p>
        </w:tc>
        <w:tc>
          <w:tcPr>
            <w:tcW w:w="543" w:type="dxa"/>
          </w:tcPr>
          <w:p w14:paraId="3E0339B7" w14:textId="77777777" w:rsidR="0002640D" w:rsidRPr="00E86FB4" w:rsidRDefault="0002640D" w:rsidP="0002640D">
            <w:pPr>
              <w:pStyle w:val="Table2"/>
              <w:ind w:left="99" w:hanging="99"/>
            </w:pPr>
          </w:p>
        </w:tc>
        <w:tc>
          <w:tcPr>
            <w:tcW w:w="1935" w:type="dxa"/>
            <w:gridSpan w:val="2"/>
          </w:tcPr>
          <w:p w14:paraId="1CCA079C" w14:textId="77777777" w:rsidR="0002640D" w:rsidRPr="00E86FB4" w:rsidRDefault="0002640D" w:rsidP="0002640D">
            <w:pPr>
              <w:widowControl/>
              <w:tabs>
                <w:tab w:val="left" w:pos="123"/>
              </w:tabs>
              <w:ind w:left="99" w:hanging="99"/>
              <w:rPr>
                <w:bCs/>
                <w:sz w:val="18"/>
              </w:rPr>
            </w:pPr>
          </w:p>
        </w:tc>
      </w:tr>
      <w:tr w:rsidR="0002640D" w:rsidRPr="00E86FB4" w14:paraId="2ECBB9C2" w14:textId="77777777" w:rsidTr="0002640D">
        <w:tc>
          <w:tcPr>
            <w:tcW w:w="647" w:type="dxa"/>
          </w:tcPr>
          <w:p w14:paraId="50404053" w14:textId="77777777" w:rsidR="0002640D" w:rsidRPr="00E86FB4" w:rsidRDefault="0002640D" w:rsidP="0002640D">
            <w:pPr>
              <w:widowControl/>
              <w:ind w:left="99" w:hanging="99"/>
              <w:rPr>
                <w:bCs/>
                <w:sz w:val="18"/>
              </w:rPr>
            </w:pPr>
          </w:p>
        </w:tc>
        <w:tc>
          <w:tcPr>
            <w:tcW w:w="1798" w:type="dxa"/>
          </w:tcPr>
          <w:p w14:paraId="4BF09574" w14:textId="77777777" w:rsidR="0002640D" w:rsidRPr="00E86FB4" w:rsidRDefault="0002640D" w:rsidP="0002640D">
            <w:pPr>
              <w:pStyle w:val="Table2"/>
              <w:ind w:left="99" w:hanging="99"/>
            </w:pPr>
            <w:r w:rsidRPr="00E86FB4">
              <w:t>960</w:t>
            </w:r>
          </w:p>
        </w:tc>
        <w:tc>
          <w:tcPr>
            <w:tcW w:w="2883" w:type="dxa"/>
          </w:tcPr>
          <w:p w14:paraId="67A27328" w14:textId="77777777" w:rsidR="0002640D" w:rsidRPr="00E86FB4" w:rsidRDefault="0002640D" w:rsidP="0002640D">
            <w:pPr>
              <w:pStyle w:val="Table2"/>
              <w:ind w:left="99" w:hanging="99"/>
            </w:pPr>
            <w:r w:rsidRPr="00E86FB4">
              <w:t>Steviol glycosides</w:t>
            </w:r>
          </w:p>
        </w:tc>
        <w:tc>
          <w:tcPr>
            <w:tcW w:w="729" w:type="dxa"/>
            <w:gridSpan w:val="2"/>
          </w:tcPr>
          <w:p w14:paraId="5E28B493" w14:textId="77777777" w:rsidR="0002640D" w:rsidRPr="00E86FB4" w:rsidRDefault="0002640D" w:rsidP="0002640D">
            <w:pPr>
              <w:pStyle w:val="Table2"/>
              <w:ind w:left="99" w:hanging="99"/>
            </w:pPr>
            <w:r w:rsidRPr="00E86FB4">
              <w:t>200</w:t>
            </w:r>
          </w:p>
        </w:tc>
        <w:tc>
          <w:tcPr>
            <w:tcW w:w="710" w:type="dxa"/>
          </w:tcPr>
          <w:p w14:paraId="5AA44C95" w14:textId="77777777" w:rsidR="0002640D" w:rsidRPr="00E86FB4" w:rsidRDefault="0002640D" w:rsidP="0002640D">
            <w:pPr>
              <w:pStyle w:val="Table2"/>
              <w:ind w:left="99" w:hanging="99"/>
            </w:pPr>
            <w:r w:rsidRPr="00E86FB4">
              <w:t>mg/kg</w:t>
            </w:r>
          </w:p>
        </w:tc>
        <w:tc>
          <w:tcPr>
            <w:tcW w:w="543" w:type="dxa"/>
          </w:tcPr>
          <w:p w14:paraId="6C1AE085" w14:textId="77777777" w:rsidR="0002640D" w:rsidRPr="00E86FB4" w:rsidRDefault="0002640D" w:rsidP="0002640D">
            <w:pPr>
              <w:pStyle w:val="Table2"/>
              <w:ind w:left="99" w:hanging="99"/>
            </w:pPr>
          </w:p>
        </w:tc>
        <w:tc>
          <w:tcPr>
            <w:tcW w:w="1935" w:type="dxa"/>
            <w:gridSpan w:val="2"/>
          </w:tcPr>
          <w:p w14:paraId="5E2439D6" w14:textId="77777777" w:rsidR="0002640D" w:rsidRPr="00E86FB4" w:rsidRDefault="0002640D" w:rsidP="0002640D">
            <w:pPr>
              <w:widowControl/>
              <w:ind w:left="99" w:hanging="99"/>
              <w:rPr>
                <w:bCs/>
                <w:sz w:val="18"/>
              </w:rPr>
            </w:pPr>
          </w:p>
        </w:tc>
      </w:tr>
      <w:tr w:rsidR="0002640D" w:rsidRPr="00E86FB4" w14:paraId="6C685F79" w14:textId="77777777" w:rsidTr="0002640D">
        <w:tc>
          <w:tcPr>
            <w:tcW w:w="647" w:type="dxa"/>
          </w:tcPr>
          <w:p w14:paraId="58A21A59" w14:textId="77777777" w:rsidR="0002640D" w:rsidRPr="00E86FB4" w:rsidRDefault="0002640D" w:rsidP="0002640D">
            <w:pPr>
              <w:widowControl/>
              <w:ind w:left="99" w:hanging="99"/>
              <w:rPr>
                <w:bCs/>
                <w:sz w:val="18"/>
              </w:rPr>
            </w:pPr>
          </w:p>
        </w:tc>
        <w:tc>
          <w:tcPr>
            <w:tcW w:w="1798" w:type="dxa"/>
          </w:tcPr>
          <w:p w14:paraId="5DD99E20" w14:textId="77777777" w:rsidR="0002640D" w:rsidRPr="007B5F1B" w:rsidRDefault="0002640D" w:rsidP="0002640D">
            <w:pPr>
              <w:pStyle w:val="Table2"/>
              <w:ind w:left="99" w:hanging="99"/>
            </w:pPr>
            <w:r w:rsidRPr="007B5F1B">
              <w:t>962</w:t>
            </w:r>
          </w:p>
        </w:tc>
        <w:tc>
          <w:tcPr>
            <w:tcW w:w="2883" w:type="dxa"/>
          </w:tcPr>
          <w:p w14:paraId="00940AA5" w14:textId="77777777" w:rsidR="0002640D" w:rsidRPr="007B5F1B" w:rsidRDefault="0002640D" w:rsidP="0002640D">
            <w:pPr>
              <w:pStyle w:val="Table2"/>
              <w:ind w:left="99" w:hanging="99"/>
            </w:pPr>
            <w:r w:rsidRPr="007B5F1B">
              <w:t>Aspartame-acesulphame salt</w:t>
            </w:r>
          </w:p>
        </w:tc>
        <w:tc>
          <w:tcPr>
            <w:tcW w:w="729" w:type="dxa"/>
            <w:gridSpan w:val="2"/>
          </w:tcPr>
          <w:p w14:paraId="4A690753" w14:textId="77777777" w:rsidR="0002640D" w:rsidRPr="007B5F1B" w:rsidRDefault="0002640D" w:rsidP="0002640D">
            <w:pPr>
              <w:pStyle w:val="Table2"/>
              <w:ind w:left="99" w:hanging="99"/>
            </w:pPr>
            <w:r w:rsidRPr="007B5F1B">
              <w:t>230</w:t>
            </w:r>
          </w:p>
        </w:tc>
        <w:tc>
          <w:tcPr>
            <w:tcW w:w="710" w:type="dxa"/>
          </w:tcPr>
          <w:p w14:paraId="3A4ADB83" w14:textId="77777777" w:rsidR="0002640D" w:rsidRPr="007B5F1B" w:rsidRDefault="0002640D" w:rsidP="0002640D">
            <w:pPr>
              <w:pStyle w:val="Table2"/>
              <w:ind w:left="99" w:hanging="99"/>
            </w:pPr>
            <w:r w:rsidRPr="007B5F1B">
              <w:t>mg/kg</w:t>
            </w:r>
          </w:p>
        </w:tc>
        <w:tc>
          <w:tcPr>
            <w:tcW w:w="543" w:type="dxa"/>
          </w:tcPr>
          <w:p w14:paraId="64D40628" w14:textId="77777777" w:rsidR="0002640D" w:rsidRPr="007B5F1B" w:rsidRDefault="0002640D" w:rsidP="0002640D">
            <w:pPr>
              <w:pStyle w:val="Table2"/>
              <w:ind w:left="99" w:hanging="99"/>
              <w:rPr>
                <w:b/>
              </w:rPr>
            </w:pPr>
          </w:p>
        </w:tc>
        <w:tc>
          <w:tcPr>
            <w:tcW w:w="1935" w:type="dxa"/>
            <w:gridSpan w:val="2"/>
          </w:tcPr>
          <w:p w14:paraId="34FD1701" w14:textId="77777777" w:rsidR="0002640D" w:rsidRPr="007B5F1B" w:rsidRDefault="0002640D" w:rsidP="0002640D">
            <w:pPr>
              <w:widowControl/>
              <w:ind w:left="99" w:hanging="99"/>
              <w:rPr>
                <w:bCs/>
                <w:sz w:val="18"/>
              </w:rPr>
            </w:pPr>
          </w:p>
        </w:tc>
      </w:tr>
      <w:tr w:rsidR="0002640D" w:rsidRPr="00E86FB4" w14:paraId="59DE2DAA" w14:textId="77777777" w:rsidTr="0002640D">
        <w:trPr>
          <w:gridAfter w:val="1"/>
          <w:wAfter w:w="9" w:type="dxa"/>
          <w:cantSplit/>
        </w:trPr>
        <w:tc>
          <w:tcPr>
            <w:tcW w:w="647" w:type="dxa"/>
          </w:tcPr>
          <w:p w14:paraId="7B238430" w14:textId="77777777" w:rsidR="0002640D" w:rsidRPr="00E86FB4" w:rsidRDefault="0002640D" w:rsidP="0002640D">
            <w:pPr>
              <w:widowControl/>
              <w:ind w:left="99" w:hanging="99"/>
              <w:rPr>
                <w:bCs/>
                <w:sz w:val="18"/>
              </w:rPr>
            </w:pPr>
          </w:p>
        </w:tc>
        <w:tc>
          <w:tcPr>
            <w:tcW w:w="1798" w:type="dxa"/>
          </w:tcPr>
          <w:p w14:paraId="1C93208C" w14:textId="77777777" w:rsidR="0002640D" w:rsidRPr="00E86FB4" w:rsidRDefault="0002640D" w:rsidP="0002640D">
            <w:pPr>
              <w:pStyle w:val="Table2"/>
              <w:ind w:left="99" w:hanging="99"/>
            </w:pPr>
            <w:r w:rsidRPr="00E86FB4">
              <w:t>999(i) and (ii)</w:t>
            </w:r>
          </w:p>
        </w:tc>
        <w:tc>
          <w:tcPr>
            <w:tcW w:w="2903" w:type="dxa"/>
            <w:gridSpan w:val="2"/>
          </w:tcPr>
          <w:p w14:paraId="53545F1E" w14:textId="77777777" w:rsidR="0002640D" w:rsidRPr="00E86FB4" w:rsidRDefault="0002640D" w:rsidP="0002640D">
            <w:pPr>
              <w:pStyle w:val="Table2"/>
              <w:ind w:left="99" w:hanging="99"/>
              <w:rPr>
                <w:szCs w:val="18"/>
              </w:rPr>
            </w:pPr>
            <w:r w:rsidRPr="00E86FB4">
              <w:rPr>
                <w:szCs w:val="18"/>
              </w:rPr>
              <w:t>Quillaia saponins (from Quillaia extract type 1 and type 2)</w:t>
            </w:r>
          </w:p>
        </w:tc>
        <w:tc>
          <w:tcPr>
            <w:tcW w:w="709" w:type="dxa"/>
          </w:tcPr>
          <w:p w14:paraId="66D1EDF1" w14:textId="77777777" w:rsidR="0002640D" w:rsidRPr="00E86FB4" w:rsidRDefault="0002640D" w:rsidP="0002640D">
            <w:pPr>
              <w:widowControl/>
              <w:ind w:left="99" w:hanging="99"/>
              <w:rPr>
                <w:bCs/>
                <w:sz w:val="18"/>
              </w:rPr>
            </w:pPr>
            <w:r w:rsidRPr="00E86FB4">
              <w:rPr>
                <w:bCs/>
                <w:sz w:val="18"/>
              </w:rPr>
              <w:t>40</w:t>
            </w:r>
          </w:p>
        </w:tc>
        <w:tc>
          <w:tcPr>
            <w:tcW w:w="710" w:type="dxa"/>
          </w:tcPr>
          <w:p w14:paraId="1EA233E8" w14:textId="77777777" w:rsidR="0002640D" w:rsidRPr="00E86FB4" w:rsidRDefault="0002640D" w:rsidP="0002640D">
            <w:pPr>
              <w:pStyle w:val="Table2"/>
              <w:ind w:left="99" w:hanging="99"/>
            </w:pPr>
            <w:r w:rsidRPr="00E86FB4">
              <w:t>mg/kg</w:t>
            </w:r>
          </w:p>
        </w:tc>
        <w:tc>
          <w:tcPr>
            <w:tcW w:w="543" w:type="dxa"/>
          </w:tcPr>
          <w:p w14:paraId="4FAE20B3" w14:textId="77777777" w:rsidR="0002640D" w:rsidRPr="00E86FB4" w:rsidRDefault="0002640D" w:rsidP="0002640D">
            <w:pPr>
              <w:pStyle w:val="Table2"/>
              <w:ind w:left="99" w:hanging="99"/>
            </w:pPr>
          </w:p>
        </w:tc>
        <w:tc>
          <w:tcPr>
            <w:tcW w:w="1926" w:type="dxa"/>
          </w:tcPr>
          <w:p w14:paraId="66294F90" w14:textId="77777777" w:rsidR="0002640D" w:rsidRPr="00E86FB4" w:rsidRDefault="0002640D" w:rsidP="0002640D">
            <w:pPr>
              <w:widowControl/>
              <w:ind w:left="99" w:hanging="99"/>
              <w:rPr>
                <w:bCs/>
                <w:sz w:val="18"/>
              </w:rPr>
            </w:pPr>
          </w:p>
        </w:tc>
      </w:tr>
    </w:tbl>
    <w:p w14:paraId="3B8AB13E" w14:textId="77777777" w:rsidR="0002640D" w:rsidRPr="00A870AD" w:rsidRDefault="0002640D" w:rsidP="0002640D">
      <w:pPr>
        <w:pStyle w:val="Subclause"/>
        <w:jc w:val="right"/>
      </w:pPr>
      <w:r w:rsidRPr="00A870AD">
        <w:t>”</w:t>
      </w:r>
    </w:p>
    <w:p w14:paraId="52BE733C" w14:textId="77777777" w:rsidR="0002640D" w:rsidRDefault="0002640D" w:rsidP="0002640D">
      <w:pPr>
        <w:pStyle w:val="Subclause"/>
        <w:rPr>
          <w:b/>
        </w:rPr>
      </w:pPr>
    </w:p>
    <w:p w14:paraId="6F57AB39" w14:textId="77777777" w:rsidR="0002640D" w:rsidRPr="00220986" w:rsidRDefault="0002640D" w:rsidP="0002640D">
      <w:pPr>
        <w:pStyle w:val="Subclause"/>
      </w:pPr>
      <w:r w:rsidRPr="00220986">
        <w:t>[</w:t>
      </w:r>
      <w:r>
        <w:t>2</w:t>
      </w:r>
      <w:r w:rsidRPr="00220986">
        <w:t>.3]</w:t>
      </w:r>
      <w:r w:rsidRPr="00220986">
        <w:tab/>
        <w:t xml:space="preserve">omitting the heading “13.5 Food for special medical purposes*” in Schedule 1 and substituting “13.6 Food for special medical purposes*”   </w:t>
      </w:r>
    </w:p>
    <w:p w14:paraId="11508F2A" w14:textId="77777777" w:rsidR="0002640D" w:rsidRPr="00220986" w:rsidRDefault="0002640D" w:rsidP="0002640D">
      <w:pPr>
        <w:pStyle w:val="Clause"/>
        <w:widowControl/>
      </w:pPr>
    </w:p>
    <w:p w14:paraId="5A90EFA2" w14:textId="77777777" w:rsidR="0002640D" w:rsidRPr="00220986" w:rsidRDefault="0002640D" w:rsidP="0002640D">
      <w:pPr>
        <w:pStyle w:val="Subclause"/>
      </w:pPr>
      <w:r w:rsidRPr="00220986">
        <w:t>[</w:t>
      </w:r>
      <w:r>
        <w:t>2</w:t>
      </w:r>
      <w:r w:rsidRPr="00220986">
        <w:t>.4]</w:t>
      </w:r>
      <w:r w:rsidRPr="00220986">
        <w:tab/>
        <w:t>omitting the heading “13.5.1 Liquid food for special medical purposes*” in Schedule 1 and substituting “13.6.1 Liquid food for special medical purposes*”</w:t>
      </w:r>
    </w:p>
    <w:p w14:paraId="05460E98" w14:textId="77777777" w:rsidR="0002640D" w:rsidRPr="00220986" w:rsidRDefault="0002640D" w:rsidP="0002640D">
      <w:pPr>
        <w:pStyle w:val="Clause"/>
        <w:widowControl/>
      </w:pPr>
    </w:p>
    <w:p w14:paraId="6BAA908B" w14:textId="77777777" w:rsidR="0002640D" w:rsidRPr="00220986" w:rsidRDefault="0002640D" w:rsidP="0002640D">
      <w:pPr>
        <w:pStyle w:val="Subclause"/>
      </w:pPr>
      <w:r w:rsidRPr="00220986">
        <w:t>[</w:t>
      </w:r>
      <w:r>
        <w:t>2</w:t>
      </w:r>
      <w:r w:rsidRPr="00220986">
        <w:t>.5]</w:t>
      </w:r>
      <w:r w:rsidRPr="00220986">
        <w:tab/>
        <w:t>omitting the heading “13.5.2 Food for special medical purposes other than liquids*” in Schedule 1 and substituting “13.6.2 Food for special medical purposes other than liquids*”</w:t>
      </w:r>
    </w:p>
    <w:p w14:paraId="09780E99" w14:textId="77777777" w:rsidR="0002640D" w:rsidRPr="0097646E" w:rsidRDefault="0002640D" w:rsidP="0002640D">
      <w:pPr>
        <w:pStyle w:val="Clause"/>
        <w:widowControl/>
      </w:pPr>
    </w:p>
    <w:p w14:paraId="5DD4BED9" w14:textId="77777777" w:rsidR="0002640D" w:rsidRDefault="0002640D" w:rsidP="0002640D">
      <w:pPr>
        <w:pStyle w:val="Subclause"/>
      </w:pPr>
      <w:r w:rsidRPr="002301A1">
        <w:rPr>
          <w:b/>
        </w:rPr>
        <w:t>[3]</w:t>
      </w:r>
      <w:r w:rsidRPr="002301A1">
        <w:rPr>
          <w:b/>
        </w:rPr>
        <w:tab/>
        <w:t xml:space="preserve">Standard 2.6.2 </w:t>
      </w:r>
      <w:r w:rsidRPr="00BC3497">
        <w:t>is varied by</w:t>
      </w:r>
    </w:p>
    <w:p w14:paraId="45AA7EAC" w14:textId="77777777" w:rsidR="0002640D" w:rsidRDefault="0002640D" w:rsidP="0002640D">
      <w:pPr>
        <w:pStyle w:val="Clause"/>
        <w:widowControl/>
      </w:pPr>
    </w:p>
    <w:p w14:paraId="38CA5F48" w14:textId="77777777" w:rsidR="0002640D" w:rsidRDefault="0002640D" w:rsidP="0002640D">
      <w:pPr>
        <w:pStyle w:val="Subclause"/>
      </w:pPr>
      <w:r>
        <w:t>[3.1]</w:t>
      </w:r>
      <w:r>
        <w:tab/>
        <w:t>omitting the Purpose and substituting</w:t>
      </w:r>
    </w:p>
    <w:p w14:paraId="46B61BFB" w14:textId="77777777" w:rsidR="0002640D" w:rsidRDefault="0002640D" w:rsidP="0002640D">
      <w:pPr>
        <w:pStyle w:val="Clause"/>
        <w:widowControl/>
      </w:pPr>
    </w:p>
    <w:p w14:paraId="535C4952" w14:textId="77777777" w:rsidR="0002640D" w:rsidRPr="00C70875" w:rsidRDefault="0002640D" w:rsidP="0002640D">
      <w:pPr>
        <w:pStyle w:val="Clauseheading"/>
        <w:widowControl/>
      </w:pPr>
      <w:r w:rsidRPr="00951979">
        <w:rPr>
          <w:b w:val="0"/>
        </w:rPr>
        <w:t>“</w:t>
      </w:r>
      <w:r w:rsidRPr="00C70875">
        <w:t>Purpose</w:t>
      </w:r>
    </w:p>
    <w:p w14:paraId="1675A02A" w14:textId="77777777" w:rsidR="0002640D" w:rsidRPr="00C70875" w:rsidRDefault="0002640D" w:rsidP="0002640D">
      <w:pPr>
        <w:pStyle w:val="Subclause"/>
      </w:pPr>
    </w:p>
    <w:p w14:paraId="398E28C6" w14:textId="77777777" w:rsidR="0002640D" w:rsidRPr="00C70875" w:rsidRDefault="0002640D" w:rsidP="0002640D">
      <w:pPr>
        <w:pStyle w:val="Clause"/>
        <w:widowControl/>
      </w:pPr>
      <w:r w:rsidRPr="00C70875">
        <w:t>This Standard deals with packaged waters and water-based beverages which contain food additives and in certain cases, nutritive substances.  The Standard defines a number of products and sets certain compositional requirements for packaged water, brewed soft drinks and formulated beverages.  The Standard also permits the voluntary addition of fluoride to water presented in packaged form.</w:t>
      </w:r>
    </w:p>
    <w:p w14:paraId="1DBF12A4" w14:textId="77777777" w:rsidR="0002640D" w:rsidRPr="00C70875" w:rsidRDefault="0002640D" w:rsidP="0002640D">
      <w:pPr>
        <w:pStyle w:val="Clause"/>
        <w:widowControl/>
      </w:pPr>
    </w:p>
    <w:p w14:paraId="463AE7D5" w14:textId="77777777" w:rsidR="0002640D" w:rsidRPr="00C70875" w:rsidRDefault="0002640D" w:rsidP="0002640D">
      <w:pPr>
        <w:pStyle w:val="Clause"/>
        <w:widowControl/>
      </w:pPr>
      <w:r w:rsidRPr="00C70875">
        <w:t>Labelling requirements specific to water presented in packaged form are included in this Standard.  This Standard also prohibits the labelling or presentation of non-alcoholic beverages in such a way as to suggest the product is an alcoholic beverage.”</w:t>
      </w:r>
    </w:p>
    <w:p w14:paraId="5CDCB071" w14:textId="77777777" w:rsidR="0002640D" w:rsidRDefault="0002640D" w:rsidP="0002640D">
      <w:pPr>
        <w:pStyle w:val="Clause"/>
        <w:widowControl/>
      </w:pPr>
    </w:p>
    <w:p w14:paraId="1969C5A1" w14:textId="77777777" w:rsidR="0002640D" w:rsidRDefault="0002640D" w:rsidP="0002640D">
      <w:pPr>
        <w:pStyle w:val="Subclause"/>
      </w:pPr>
      <w:r>
        <w:t>[3.2]</w:t>
      </w:r>
      <w:r>
        <w:tab/>
        <w:t xml:space="preserve">omitting the definitions of </w:t>
      </w:r>
      <w:r>
        <w:rPr>
          <w:b/>
        </w:rPr>
        <w:t>electrolyte drink</w:t>
      </w:r>
      <w:r>
        <w:t xml:space="preserve"> and </w:t>
      </w:r>
      <w:r>
        <w:rPr>
          <w:b/>
        </w:rPr>
        <w:t>electrolyte drink base</w:t>
      </w:r>
      <w:r>
        <w:t xml:space="preserve"> in clause 1</w:t>
      </w:r>
    </w:p>
    <w:p w14:paraId="09CF7E85" w14:textId="77777777" w:rsidR="0002640D" w:rsidRDefault="0002640D" w:rsidP="0002640D">
      <w:pPr>
        <w:pStyle w:val="Subclause"/>
      </w:pPr>
    </w:p>
    <w:p w14:paraId="78355D4D" w14:textId="77777777" w:rsidR="0002640D" w:rsidRDefault="0002640D" w:rsidP="0002640D">
      <w:pPr>
        <w:pStyle w:val="Subclause"/>
      </w:pPr>
      <w:r>
        <w:t>[3.3]</w:t>
      </w:r>
      <w:r>
        <w:tab/>
        <w:t xml:space="preserve">omitting the definition of </w:t>
      </w:r>
      <w:r>
        <w:rPr>
          <w:b/>
        </w:rPr>
        <w:t>non-alcoholic beverage</w:t>
      </w:r>
      <w:r>
        <w:t xml:space="preserve"> in clause 1 and substituting</w:t>
      </w:r>
    </w:p>
    <w:p w14:paraId="32493A86" w14:textId="77777777" w:rsidR="0002640D" w:rsidRDefault="0002640D" w:rsidP="0002640D">
      <w:pPr>
        <w:pStyle w:val="Subclause"/>
      </w:pPr>
    </w:p>
    <w:p w14:paraId="3E5701B8" w14:textId="77777777" w:rsidR="0002640D" w:rsidRPr="003F761E" w:rsidRDefault="0002640D" w:rsidP="0002640D">
      <w:pPr>
        <w:pStyle w:val="Definition"/>
        <w:widowControl/>
      </w:pPr>
      <w:r>
        <w:t>“</w:t>
      </w:r>
      <w:r w:rsidRPr="003F761E">
        <w:rPr>
          <w:b/>
        </w:rPr>
        <w:t>non-alcoholic beverage</w:t>
      </w:r>
      <w:r w:rsidRPr="003F761E">
        <w:t xml:space="preserve"> means –</w:t>
      </w:r>
    </w:p>
    <w:p w14:paraId="2AE9BDEC" w14:textId="77777777" w:rsidR="0002640D" w:rsidRPr="003F761E" w:rsidRDefault="0002640D" w:rsidP="0002640D">
      <w:pPr>
        <w:pStyle w:val="Definition"/>
        <w:widowControl/>
      </w:pPr>
    </w:p>
    <w:p w14:paraId="6427C48C" w14:textId="77777777" w:rsidR="0002640D" w:rsidRDefault="0002640D" w:rsidP="0002640D">
      <w:pPr>
        <w:pStyle w:val="Subparagraph"/>
        <w:widowControl/>
      </w:pPr>
      <w:r>
        <w:t>(a)</w:t>
      </w:r>
      <w:r>
        <w:tab/>
        <w:t>packaged water; or</w:t>
      </w:r>
    </w:p>
    <w:p w14:paraId="64AC2971" w14:textId="77777777" w:rsidR="0002640D" w:rsidRPr="00041CA2" w:rsidRDefault="0002640D" w:rsidP="0002640D">
      <w:pPr>
        <w:pStyle w:val="Subparagraph"/>
        <w:widowControl/>
      </w:pPr>
      <w:r>
        <w:t>(b)</w:t>
      </w:r>
      <w:r>
        <w:tab/>
        <w:t>a water-based beverage which may or may not contain other foods, except for alcoholic beverages.”</w:t>
      </w:r>
    </w:p>
    <w:p w14:paraId="3BBEB42F" w14:textId="77777777" w:rsidR="0002640D" w:rsidRDefault="0002640D" w:rsidP="0002640D">
      <w:pPr>
        <w:widowControl/>
        <w:rPr>
          <w:sz w:val="20"/>
        </w:rPr>
      </w:pPr>
    </w:p>
    <w:p w14:paraId="1E134AA4" w14:textId="77777777" w:rsidR="0002640D" w:rsidRDefault="0002640D" w:rsidP="0002640D">
      <w:pPr>
        <w:pStyle w:val="Subclause"/>
      </w:pPr>
      <w:r>
        <w:t>[3.4]</w:t>
      </w:r>
      <w:r>
        <w:tab/>
        <w:t>omitting clauses 6 to 8</w:t>
      </w:r>
    </w:p>
    <w:p w14:paraId="652327B4" w14:textId="77777777" w:rsidR="0002640D" w:rsidRDefault="0002640D" w:rsidP="0002640D">
      <w:pPr>
        <w:pStyle w:val="Subclause"/>
      </w:pPr>
    </w:p>
    <w:p w14:paraId="10B71217" w14:textId="77777777" w:rsidR="0002640D" w:rsidRDefault="0002640D" w:rsidP="0002640D">
      <w:pPr>
        <w:pStyle w:val="Subclause"/>
      </w:pPr>
      <w:r>
        <w:t>[3.5]</w:t>
      </w:r>
      <w:r>
        <w:tab/>
        <w:t xml:space="preserve">omitting the heading to clause 9 and substituting “6 </w:t>
      </w:r>
      <w:r w:rsidRPr="00C45D1C">
        <w:t>Composition of formulated beverages</w:t>
      </w:r>
      <w:r>
        <w:t>”</w:t>
      </w:r>
    </w:p>
    <w:p w14:paraId="5A3DACD5" w14:textId="77777777" w:rsidR="0002640D" w:rsidRDefault="0002640D" w:rsidP="0002640D">
      <w:pPr>
        <w:pStyle w:val="Clause"/>
        <w:widowControl/>
      </w:pPr>
    </w:p>
    <w:p w14:paraId="0B1C553A" w14:textId="77777777" w:rsidR="0002640D" w:rsidRPr="00252C52" w:rsidRDefault="0002640D" w:rsidP="0002640D">
      <w:pPr>
        <w:pStyle w:val="Subclause"/>
      </w:pPr>
      <w:r>
        <w:t>[3.6]</w:t>
      </w:r>
      <w:r>
        <w:tab/>
      </w:r>
      <w:r w:rsidRPr="00654331">
        <w:t>updating the Table of Provisions</w:t>
      </w:r>
      <w:r w:rsidRPr="00654331">
        <w:rPr>
          <w:iCs/>
        </w:rPr>
        <w:t xml:space="preserve"> to reflect these variations</w:t>
      </w:r>
    </w:p>
    <w:p w14:paraId="58FE507C" w14:textId="77777777" w:rsidR="0002640D" w:rsidRDefault="0002640D" w:rsidP="0002640D">
      <w:pPr>
        <w:pStyle w:val="Clause"/>
        <w:widowControl/>
      </w:pPr>
    </w:p>
    <w:p w14:paraId="2F628AA7" w14:textId="77777777" w:rsidR="0002640D" w:rsidRPr="000C2A8D" w:rsidRDefault="0002640D" w:rsidP="0002640D">
      <w:pPr>
        <w:pStyle w:val="Clause"/>
        <w:widowControl/>
        <w:rPr>
          <w:b/>
          <w:bCs/>
        </w:rPr>
      </w:pPr>
      <w:r w:rsidRPr="000C2A8D">
        <w:rPr>
          <w:b/>
          <w:bCs/>
        </w:rPr>
        <w:t>[</w:t>
      </w:r>
      <w:r>
        <w:rPr>
          <w:b/>
          <w:bCs/>
        </w:rPr>
        <w:t>4</w:t>
      </w:r>
      <w:r w:rsidRPr="000C2A8D">
        <w:rPr>
          <w:b/>
          <w:bCs/>
        </w:rPr>
        <w:t>]</w:t>
      </w:r>
      <w:r w:rsidRPr="000C2A8D">
        <w:rPr>
          <w:b/>
          <w:bCs/>
        </w:rPr>
        <w:tab/>
        <w:t xml:space="preserve">Standard 2.9.4 </w:t>
      </w:r>
      <w:r w:rsidRPr="000C2A8D">
        <w:rPr>
          <w:bCs/>
        </w:rPr>
        <w:t>is varied by</w:t>
      </w:r>
    </w:p>
    <w:p w14:paraId="726DE7D4" w14:textId="77777777" w:rsidR="0002640D" w:rsidRPr="00BC3497" w:rsidRDefault="0002640D" w:rsidP="0002640D">
      <w:pPr>
        <w:pStyle w:val="Clause"/>
        <w:widowControl/>
      </w:pPr>
    </w:p>
    <w:p w14:paraId="7D63B4EF" w14:textId="77777777" w:rsidR="0002640D" w:rsidRDefault="0002640D" w:rsidP="0002640D">
      <w:pPr>
        <w:pStyle w:val="Subclause"/>
      </w:pPr>
      <w:r w:rsidRPr="00B67CEA">
        <w:t>[</w:t>
      </w:r>
      <w:r>
        <w:t>4</w:t>
      </w:r>
      <w:r w:rsidRPr="00B67CEA">
        <w:t>.1]</w:t>
      </w:r>
      <w:r w:rsidRPr="00B67CEA">
        <w:tab/>
      </w:r>
      <w:r w:rsidRPr="00420D10">
        <w:t>omitting the heading of the Standard and substituting “Formulated Supplementary Sports Foods and Electrolyte Drinks”</w:t>
      </w:r>
    </w:p>
    <w:p w14:paraId="75213E04" w14:textId="77777777" w:rsidR="0002640D" w:rsidRDefault="0002640D" w:rsidP="0002640D">
      <w:pPr>
        <w:pStyle w:val="Subclause"/>
      </w:pPr>
      <w:r>
        <w:t>[4.2]</w:t>
      </w:r>
      <w:r>
        <w:tab/>
      </w:r>
      <w:r w:rsidRPr="0006757C">
        <w:t>omitting the Purpose and substituting</w:t>
      </w:r>
    </w:p>
    <w:p w14:paraId="17550FC6" w14:textId="77777777" w:rsidR="0002640D" w:rsidRDefault="0002640D" w:rsidP="0002640D">
      <w:pPr>
        <w:pStyle w:val="Subclause"/>
      </w:pPr>
    </w:p>
    <w:p w14:paraId="354ADD32" w14:textId="77777777" w:rsidR="0002640D" w:rsidRDefault="0002640D" w:rsidP="0002640D">
      <w:pPr>
        <w:pStyle w:val="Clauseheading"/>
        <w:widowControl/>
      </w:pPr>
      <w:r w:rsidRPr="00951979">
        <w:rPr>
          <w:b w:val="0"/>
        </w:rPr>
        <w:t>“</w:t>
      </w:r>
      <w:r w:rsidRPr="00C70875">
        <w:t>Purpose</w:t>
      </w:r>
    </w:p>
    <w:p w14:paraId="14149ED5" w14:textId="77777777" w:rsidR="0002640D" w:rsidRPr="00F46E09" w:rsidRDefault="0002640D" w:rsidP="0002640D">
      <w:pPr>
        <w:pStyle w:val="Subclause"/>
      </w:pPr>
    </w:p>
    <w:p w14:paraId="761E18C8" w14:textId="77777777" w:rsidR="0002640D" w:rsidRDefault="0002640D" w:rsidP="0002640D">
      <w:pPr>
        <w:pStyle w:val="Clause"/>
        <w:widowControl/>
        <w:rPr>
          <w:lang w:val="en-AU" w:eastAsia="en-GB"/>
        </w:rPr>
      </w:pPr>
      <w:r w:rsidRPr="00C93C27">
        <w:t xml:space="preserve">This Standard </w:t>
      </w:r>
      <w:r w:rsidRPr="00C93C27">
        <w:rPr>
          <w:lang w:val="en-AU" w:eastAsia="en-GB"/>
        </w:rPr>
        <w:t xml:space="preserve">defines and regulates the composition and labelling of foods specially formulated to assist sports people in achieving specific nutritional or performance goals, </w:t>
      </w:r>
      <w:r>
        <w:rPr>
          <w:lang w:val="en-AU" w:eastAsia="en-GB"/>
        </w:rPr>
        <w:t>and</w:t>
      </w:r>
      <w:r w:rsidRPr="00C93C27">
        <w:rPr>
          <w:lang w:val="en-AU" w:eastAsia="en-GB"/>
        </w:rPr>
        <w:t xml:space="preserve"> electrolyte drinks.  Such foods are intended as supplements to a diet rather than for use as the sole or principal source of nutrition</w:t>
      </w:r>
      <w:r>
        <w:rPr>
          <w:lang w:val="en-AU" w:eastAsia="en-GB"/>
        </w:rPr>
        <w:t>.</w:t>
      </w:r>
    </w:p>
    <w:p w14:paraId="7BA9B4D4" w14:textId="77777777" w:rsidR="0002640D" w:rsidRPr="00F46E09" w:rsidRDefault="0002640D" w:rsidP="0002640D">
      <w:pPr>
        <w:widowControl/>
        <w:rPr>
          <w:lang w:val="en-AU" w:eastAsia="en-GB"/>
        </w:rPr>
      </w:pPr>
    </w:p>
    <w:p w14:paraId="388B12BD" w14:textId="77777777" w:rsidR="0002640D" w:rsidRPr="00C93C27" w:rsidRDefault="0002640D" w:rsidP="0002640D">
      <w:pPr>
        <w:pStyle w:val="Subclause"/>
        <w:rPr>
          <w:rFonts w:cs="Arial"/>
        </w:rPr>
      </w:pPr>
      <w:r w:rsidRPr="00C93C27">
        <w:rPr>
          <w:rFonts w:cs="Arial"/>
          <w:lang w:val="en-AU" w:eastAsia="en-GB"/>
        </w:rPr>
        <w:t>Due to the particular physiological demands of sports people, this Standard provides for the addition to formulated supplementary sports foods of certain micronutrients and other ingredients which are not permitted to be added to other foods.  This means that such products are not suitable for consumption by children.</w:t>
      </w:r>
      <w:r>
        <w:rPr>
          <w:rFonts w:cs="Arial"/>
          <w:lang w:val="en-AU" w:eastAsia="en-GB"/>
        </w:rPr>
        <w:t>”</w:t>
      </w:r>
    </w:p>
    <w:p w14:paraId="4A5AC1E3" w14:textId="77777777" w:rsidR="0002640D" w:rsidRDefault="0002640D" w:rsidP="0002640D">
      <w:pPr>
        <w:pStyle w:val="Subclause"/>
      </w:pPr>
    </w:p>
    <w:p w14:paraId="16CD0A84" w14:textId="77777777" w:rsidR="0002640D" w:rsidRDefault="0002640D" w:rsidP="0002640D">
      <w:pPr>
        <w:pStyle w:val="Subclause"/>
      </w:pPr>
      <w:r>
        <w:t>[4.3]</w:t>
      </w:r>
      <w:r>
        <w:tab/>
        <w:t xml:space="preserve">omitting the heading of Division 1 and substituting </w:t>
      </w:r>
      <w:r w:rsidRPr="003F6B92">
        <w:rPr>
          <w:rFonts w:cs="Arial"/>
        </w:rPr>
        <w:t>“</w:t>
      </w:r>
      <w:r>
        <w:t>Division 1 – Introduction</w:t>
      </w:r>
      <w:r w:rsidRPr="003F6B92">
        <w:rPr>
          <w:rFonts w:cs="Arial"/>
        </w:rPr>
        <w:t>”</w:t>
      </w:r>
    </w:p>
    <w:p w14:paraId="531936C1" w14:textId="77777777" w:rsidR="0002640D" w:rsidRDefault="0002640D" w:rsidP="0002640D">
      <w:pPr>
        <w:pStyle w:val="Subclause"/>
      </w:pPr>
    </w:p>
    <w:p w14:paraId="09566AED" w14:textId="77777777" w:rsidR="0002640D" w:rsidRDefault="0002640D" w:rsidP="0002640D">
      <w:pPr>
        <w:pStyle w:val="Subclause"/>
      </w:pPr>
      <w:r>
        <w:t>[4.4]</w:t>
      </w:r>
      <w:r>
        <w:tab/>
        <w:t xml:space="preserve">omitting clause 1 and substituting </w:t>
      </w:r>
    </w:p>
    <w:p w14:paraId="5350AD49" w14:textId="77777777" w:rsidR="0002640D" w:rsidRDefault="0002640D" w:rsidP="0002640D">
      <w:pPr>
        <w:pStyle w:val="Subclause"/>
      </w:pPr>
    </w:p>
    <w:p w14:paraId="5914A348" w14:textId="77777777" w:rsidR="0002640D" w:rsidRDefault="0002640D" w:rsidP="0002640D">
      <w:pPr>
        <w:pStyle w:val="Clauseheading"/>
        <w:widowControl/>
      </w:pPr>
      <w:r w:rsidRPr="006A3D8A">
        <w:rPr>
          <w:b w:val="0"/>
        </w:rPr>
        <w:t>“</w:t>
      </w:r>
      <w:r>
        <w:t>1</w:t>
      </w:r>
      <w:r>
        <w:tab/>
        <w:t>Interpretation</w:t>
      </w:r>
    </w:p>
    <w:p w14:paraId="07C8F23A" w14:textId="77777777" w:rsidR="0002640D" w:rsidRDefault="0002640D" w:rsidP="0002640D">
      <w:pPr>
        <w:pStyle w:val="Subclause"/>
      </w:pPr>
    </w:p>
    <w:p w14:paraId="43015238" w14:textId="77777777" w:rsidR="0002640D" w:rsidRPr="00075C5B" w:rsidRDefault="0002640D" w:rsidP="0002640D">
      <w:pPr>
        <w:pStyle w:val="Subclause"/>
      </w:pPr>
      <w:r>
        <w:t>(1)</w:t>
      </w:r>
      <w:r>
        <w:tab/>
        <w:t xml:space="preserve">In this Code </w:t>
      </w:r>
      <w:r w:rsidRPr="003F761E">
        <w:t>–</w:t>
      </w:r>
    </w:p>
    <w:p w14:paraId="24BBFC32" w14:textId="77777777" w:rsidR="0002640D" w:rsidRDefault="0002640D" w:rsidP="0002640D">
      <w:pPr>
        <w:pStyle w:val="Subclause"/>
      </w:pPr>
    </w:p>
    <w:p w14:paraId="5AC6D970" w14:textId="77777777" w:rsidR="0002640D" w:rsidRDefault="0002640D" w:rsidP="0002640D">
      <w:pPr>
        <w:pStyle w:val="Definition"/>
        <w:widowControl/>
      </w:pPr>
      <w:r w:rsidRPr="003F761E">
        <w:rPr>
          <w:b/>
        </w:rPr>
        <w:t>electrolyte</w:t>
      </w:r>
      <w:r w:rsidRPr="003F761E">
        <w:t xml:space="preserve"> </w:t>
      </w:r>
      <w:r w:rsidRPr="00CA0B68">
        <w:rPr>
          <w:b/>
        </w:rPr>
        <w:t>drink</w:t>
      </w:r>
      <w:r w:rsidRPr="003F761E">
        <w:t xml:space="preserve"> </w:t>
      </w:r>
      <w:r>
        <w:t>means a drink formulated for the rapid replacement of fluid, carbohydrates and electrolytes lost as a result of sustained strenuous physical activity.</w:t>
      </w:r>
    </w:p>
    <w:p w14:paraId="19907E46" w14:textId="77777777" w:rsidR="0002640D" w:rsidRDefault="0002640D" w:rsidP="0002640D">
      <w:pPr>
        <w:pStyle w:val="Subclause"/>
      </w:pPr>
    </w:p>
    <w:p w14:paraId="5748FC13" w14:textId="77777777" w:rsidR="0002640D" w:rsidRDefault="0002640D" w:rsidP="0002640D">
      <w:pPr>
        <w:pStyle w:val="Definition"/>
        <w:widowControl/>
      </w:pPr>
      <w:r w:rsidRPr="00CA0B68">
        <w:rPr>
          <w:b/>
        </w:rPr>
        <w:t>electrolyte drink base</w:t>
      </w:r>
      <w:r w:rsidRPr="00CA0B68">
        <w:t xml:space="preserve"> means a solid or liquid which when made up, makes an electrolyte drink.</w:t>
      </w:r>
    </w:p>
    <w:p w14:paraId="25FB4B08" w14:textId="77777777" w:rsidR="0002640D" w:rsidRDefault="0002640D" w:rsidP="0002640D">
      <w:pPr>
        <w:pStyle w:val="Subclause"/>
      </w:pPr>
    </w:p>
    <w:p w14:paraId="347A3B7D" w14:textId="77777777" w:rsidR="0002640D" w:rsidRDefault="0002640D" w:rsidP="0002640D">
      <w:pPr>
        <w:pStyle w:val="Definition"/>
        <w:widowControl/>
      </w:pPr>
      <w:r w:rsidRPr="006B4B3C">
        <w:rPr>
          <w:b/>
        </w:rPr>
        <w:t>formulated supplementary sports</w:t>
      </w:r>
      <w:r>
        <w:rPr>
          <w:b/>
        </w:rPr>
        <w:t xml:space="preserve"> </w:t>
      </w:r>
      <w:r w:rsidRPr="006B4B3C">
        <w:rPr>
          <w:b/>
        </w:rPr>
        <w:t>food</w:t>
      </w:r>
      <w:r w:rsidRPr="006B4B3C">
        <w:t xml:space="preserve"> means a food or mixture of foods specifically formulated to assist sports people in achieving specific nutritional or performance goals, and does not include electrolyte drinks and electrolyte drink bases.</w:t>
      </w:r>
    </w:p>
    <w:p w14:paraId="5048EC1F" w14:textId="77777777" w:rsidR="0002640D" w:rsidRDefault="0002640D" w:rsidP="0002640D">
      <w:pPr>
        <w:pStyle w:val="Subclause"/>
      </w:pPr>
    </w:p>
    <w:p w14:paraId="18974691" w14:textId="77777777" w:rsidR="0002640D" w:rsidRPr="006B4B3C" w:rsidRDefault="0002640D" w:rsidP="0002640D">
      <w:pPr>
        <w:pStyle w:val="Definition"/>
        <w:widowControl/>
      </w:pPr>
      <w:r>
        <w:rPr>
          <w:b/>
        </w:rPr>
        <w:t>one-day quantity</w:t>
      </w:r>
      <w:r>
        <w:t xml:space="preserve"> in relation to formulated supplementary sports food, means the amount of that food which is to be consumed in one day in accordance with directions specified in the label.</w:t>
      </w:r>
      <w:r w:rsidRPr="006B4B3C">
        <w:t xml:space="preserve"> </w:t>
      </w:r>
    </w:p>
    <w:p w14:paraId="7E7AF254" w14:textId="77777777" w:rsidR="0002640D" w:rsidRDefault="0002640D" w:rsidP="0002640D">
      <w:pPr>
        <w:pStyle w:val="Subclause"/>
      </w:pPr>
    </w:p>
    <w:p w14:paraId="4DAF6F8F" w14:textId="77777777" w:rsidR="0002640D" w:rsidRDefault="0002640D" w:rsidP="0002640D">
      <w:pPr>
        <w:pStyle w:val="Subclause"/>
      </w:pPr>
      <w:r>
        <w:t>(2)</w:t>
      </w:r>
      <w:r>
        <w:tab/>
        <w:t xml:space="preserve">In Division 4 of this Standard </w:t>
      </w:r>
      <w:r w:rsidRPr="003F761E">
        <w:t>–</w:t>
      </w:r>
    </w:p>
    <w:p w14:paraId="5E57A248" w14:textId="77777777" w:rsidR="0002640D" w:rsidRDefault="0002640D" w:rsidP="0002640D">
      <w:pPr>
        <w:pStyle w:val="Clause"/>
        <w:widowControl/>
      </w:pPr>
    </w:p>
    <w:p w14:paraId="62F97C1F" w14:textId="77777777" w:rsidR="0002640D" w:rsidRDefault="0002640D" w:rsidP="0002640D">
      <w:pPr>
        <w:pStyle w:val="Definition"/>
        <w:widowControl/>
      </w:pPr>
      <w:r w:rsidRPr="00145CB9">
        <w:rPr>
          <w:b/>
        </w:rPr>
        <w:t>the</w:t>
      </w:r>
      <w:r>
        <w:t xml:space="preserve"> </w:t>
      </w:r>
      <w:r w:rsidRPr="00145CB9">
        <w:rPr>
          <w:b/>
        </w:rPr>
        <w:t>Variation</w:t>
      </w:r>
      <w:r w:rsidRPr="00145CB9">
        <w:t xml:space="preserve"> means the </w:t>
      </w:r>
      <w:r w:rsidRPr="00ED41BD">
        <w:rPr>
          <w:i/>
        </w:rPr>
        <w:t xml:space="preserve">Food Standards (Proposal P1030 – Health Claims </w:t>
      </w:r>
      <w:r>
        <w:rPr>
          <w:i/>
        </w:rPr>
        <w:t xml:space="preserve">– </w:t>
      </w:r>
      <w:r w:rsidRPr="00ED41BD">
        <w:rPr>
          <w:i/>
        </w:rPr>
        <w:t>For</w:t>
      </w:r>
      <w:r>
        <w:rPr>
          <w:i/>
        </w:rPr>
        <w:t>mulated Supplementary</w:t>
      </w:r>
      <w:r w:rsidRPr="00ED41BD">
        <w:rPr>
          <w:i/>
        </w:rPr>
        <w:t xml:space="preserve"> Sports Foods &amp; Electrolyte Drinks) Variation</w:t>
      </w:r>
      <w:r>
        <w:t>.”</w:t>
      </w:r>
    </w:p>
    <w:p w14:paraId="181B948B" w14:textId="77777777" w:rsidR="0002640D" w:rsidRDefault="0002640D" w:rsidP="0002640D">
      <w:pPr>
        <w:pStyle w:val="Definition"/>
        <w:widowControl/>
      </w:pPr>
    </w:p>
    <w:p w14:paraId="751E65D2" w14:textId="77777777" w:rsidR="0002640D" w:rsidRDefault="0002640D" w:rsidP="0002640D">
      <w:pPr>
        <w:pStyle w:val="Subclause"/>
      </w:pPr>
      <w:r>
        <w:t>[4.5]</w:t>
      </w:r>
      <w:r>
        <w:tab/>
        <w:t>inserting after clause 1</w:t>
      </w:r>
    </w:p>
    <w:p w14:paraId="2A351483" w14:textId="77777777" w:rsidR="0002640D" w:rsidRDefault="0002640D" w:rsidP="0002640D">
      <w:pPr>
        <w:pStyle w:val="Subclause"/>
      </w:pPr>
    </w:p>
    <w:p w14:paraId="5160BCBB" w14:textId="77777777" w:rsidR="0002640D" w:rsidRDefault="0002640D" w:rsidP="0002640D">
      <w:pPr>
        <w:pStyle w:val="DivisionHeading"/>
        <w:widowControl/>
      </w:pPr>
      <w:r w:rsidRPr="006A421D">
        <w:rPr>
          <w:rFonts w:cs="Arial"/>
          <w:b w:val="0"/>
          <w:sz w:val="20"/>
        </w:rPr>
        <w:t>“</w:t>
      </w:r>
      <w:r>
        <w:t>Division 2 – Formulated Supplementary Sports Foods Generally</w:t>
      </w:r>
      <w:r w:rsidRPr="002301A1">
        <w:rPr>
          <w:rFonts w:cs="Arial"/>
          <w:b w:val="0"/>
          <w:sz w:val="20"/>
          <w:szCs w:val="22"/>
        </w:rPr>
        <w:t>”</w:t>
      </w:r>
    </w:p>
    <w:p w14:paraId="0735354B" w14:textId="77777777" w:rsidR="0002640D" w:rsidRDefault="0002640D" w:rsidP="0002640D">
      <w:pPr>
        <w:pStyle w:val="Subclause"/>
      </w:pPr>
    </w:p>
    <w:p w14:paraId="1F4A2C2E" w14:textId="77777777" w:rsidR="0002640D" w:rsidRDefault="0002640D" w:rsidP="0002640D">
      <w:pPr>
        <w:pStyle w:val="Subclause"/>
      </w:pPr>
      <w:r>
        <w:t>[4.6]</w:t>
      </w:r>
      <w:r>
        <w:tab/>
        <w:t>omitting clause 6 and substituting</w:t>
      </w:r>
    </w:p>
    <w:p w14:paraId="7B8DA172" w14:textId="77777777" w:rsidR="0002640D" w:rsidRDefault="0002640D" w:rsidP="0002640D">
      <w:pPr>
        <w:pStyle w:val="Subclause"/>
      </w:pPr>
    </w:p>
    <w:p w14:paraId="03779039" w14:textId="77777777" w:rsidR="0002640D" w:rsidRPr="00C25200" w:rsidRDefault="0002640D" w:rsidP="0002640D">
      <w:pPr>
        <w:pStyle w:val="Clauseheading"/>
        <w:widowControl/>
      </w:pPr>
      <w:r w:rsidRPr="00BB4143">
        <w:rPr>
          <w:b w:val="0"/>
        </w:rPr>
        <w:t>“</w:t>
      </w:r>
      <w:r>
        <w:t>6</w:t>
      </w:r>
      <w:r>
        <w:tab/>
        <w:t>Health claims</w:t>
      </w:r>
    </w:p>
    <w:p w14:paraId="1CE48D49" w14:textId="77777777" w:rsidR="0002640D" w:rsidRDefault="0002640D" w:rsidP="0002640D">
      <w:pPr>
        <w:pStyle w:val="Subclause"/>
      </w:pPr>
    </w:p>
    <w:p w14:paraId="070CF44D" w14:textId="77777777" w:rsidR="0002640D" w:rsidRDefault="0002640D" w:rsidP="0002640D">
      <w:pPr>
        <w:pStyle w:val="Subclause"/>
      </w:pPr>
      <w:r>
        <w:t xml:space="preserve">(1) </w:t>
      </w:r>
      <w:r>
        <w:tab/>
        <w:t>This c</w:t>
      </w:r>
      <w:r w:rsidRPr="00B47191">
        <w:t xml:space="preserve">lause does not apply to </w:t>
      </w:r>
      <w:r>
        <w:t>a statement that is permitted by Division 3.</w:t>
      </w:r>
      <w:r w:rsidRPr="00B47191">
        <w:t xml:space="preserve"> </w:t>
      </w:r>
    </w:p>
    <w:p w14:paraId="1704EC17" w14:textId="77777777" w:rsidR="0002640D" w:rsidRDefault="0002640D" w:rsidP="0002640D">
      <w:pPr>
        <w:pStyle w:val="Subclause"/>
      </w:pPr>
    </w:p>
    <w:p w14:paraId="32E1F816" w14:textId="77777777" w:rsidR="0002640D" w:rsidRDefault="0002640D" w:rsidP="0002640D">
      <w:pPr>
        <w:pStyle w:val="Subclause"/>
      </w:pPr>
      <w:r>
        <w:t xml:space="preserve">(2) </w:t>
      </w:r>
      <w:r>
        <w:tab/>
        <w:t xml:space="preserve">A health claim made about a formulated supplementary sports food must </w:t>
      </w:r>
      <w:r w:rsidRPr="003F761E">
        <w:t>–</w:t>
      </w:r>
    </w:p>
    <w:p w14:paraId="21F733A5" w14:textId="77777777" w:rsidR="0002640D" w:rsidRDefault="0002640D" w:rsidP="0002640D">
      <w:pPr>
        <w:pStyle w:val="Subclause"/>
      </w:pPr>
    </w:p>
    <w:p w14:paraId="2384F7A4" w14:textId="77777777" w:rsidR="0002640D" w:rsidRDefault="0002640D" w:rsidP="0002640D">
      <w:pPr>
        <w:pStyle w:val="Paragraph"/>
        <w:widowControl/>
      </w:pPr>
      <w:r>
        <w:t>(a)</w:t>
      </w:r>
      <w:r>
        <w:tab/>
        <w:t>be made in accordance with Standard 1.2.7; and</w:t>
      </w:r>
    </w:p>
    <w:p w14:paraId="3F1D18FB" w14:textId="77777777" w:rsidR="0002640D" w:rsidRPr="0041578D" w:rsidRDefault="0002640D" w:rsidP="0002640D">
      <w:pPr>
        <w:pStyle w:val="Paragraph"/>
        <w:widowControl/>
        <w:rPr>
          <w:highlight w:val="yellow"/>
        </w:rPr>
      </w:pPr>
      <w:r>
        <w:t>(b)</w:t>
      </w:r>
      <w:r>
        <w:tab/>
      </w:r>
      <w:r w:rsidRPr="00C8186E">
        <w:rPr>
          <w:lang w:val="en-AU"/>
        </w:rPr>
        <w:t xml:space="preserve">relate only to </w:t>
      </w:r>
      <w:r w:rsidRPr="00C8186E">
        <w:t>the specific nutritional or performance goal or goals for sports people that the food was formulated to achieve</w:t>
      </w:r>
      <w:r w:rsidRPr="007565E0">
        <w:t>.”</w:t>
      </w:r>
    </w:p>
    <w:p w14:paraId="5A543D2F" w14:textId="77777777" w:rsidR="0002640D" w:rsidRDefault="0002640D" w:rsidP="0002640D">
      <w:pPr>
        <w:pStyle w:val="ListParagraph"/>
      </w:pPr>
    </w:p>
    <w:p w14:paraId="6CBC1268" w14:textId="77777777" w:rsidR="0002640D" w:rsidRDefault="0002640D" w:rsidP="0002640D">
      <w:pPr>
        <w:pStyle w:val="Subclause"/>
      </w:pPr>
      <w:r>
        <w:t>[4.7]</w:t>
      </w:r>
      <w:r>
        <w:tab/>
        <w:t xml:space="preserve">omitting the heading of Division 2 and substituting </w:t>
      </w:r>
      <w:r w:rsidRPr="003F6B92">
        <w:rPr>
          <w:rFonts w:cs="Arial"/>
        </w:rPr>
        <w:t>“</w:t>
      </w:r>
      <w:r>
        <w:t>Division 3 – Particular Formulated Supplementary Sports Foods</w:t>
      </w:r>
      <w:r w:rsidRPr="002301A1">
        <w:t>”</w:t>
      </w:r>
    </w:p>
    <w:p w14:paraId="061B13ED" w14:textId="77777777" w:rsidR="0002640D" w:rsidRDefault="0002640D" w:rsidP="0002640D">
      <w:pPr>
        <w:pStyle w:val="Subclause"/>
      </w:pPr>
      <w:r>
        <w:t>[4.8]</w:t>
      </w:r>
      <w:r>
        <w:tab/>
        <w:t>inserting after clause 9</w:t>
      </w:r>
    </w:p>
    <w:p w14:paraId="57D80D30" w14:textId="77777777" w:rsidR="0002640D" w:rsidRDefault="0002640D" w:rsidP="0002640D">
      <w:pPr>
        <w:pStyle w:val="Subclause"/>
      </w:pPr>
    </w:p>
    <w:p w14:paraId="167EDD15" w14:textId="77777777" w:rsidR="0002640D" w:rsidRDefault="0002640D" w:rsidP="0002640D">
      <w:pPr>
        <w:pStyle w:val="DivisionHeading"/>
        <w:widowControl/>
      </w:pPr>
      <w:r w:rsidRPr="002301A1">
        <w:rPr>
          <w:rFonts w:cs="Arial"/>
          <w:b w:val="0"/>
          <w:sz w:val="20"/>
          <w:szCs w:val="22"/>
        </w:rPr>
        <w:lastRenderedPageBreak/>
        <w:t>“</w:t>
      </w:r>
      <w:r>
        <w:t>Division 4 – Electrolyte Drinks and Electrolyte Drink Bases</w:t>
      </w:r>
    </w:p>
    <w:p w14:paraId="1BF41EA9" w14:textId="77777777" w:rsidR="0002640D" w:rsidRDefault="0002640D" w:rsidP="0002640D">
      <w:pPr>
        <w:pStyle w:val="Clauseheading"/>
        <w:widowControl/>
      </w:pPr>
    </w:p>
    <w:p w14:paraId="7F48FD6D" w14:textId="77777777" w:rsidR="0002640D" w:rsidRDefault="0002640D" w:rsidP="0002640D">
      <w:pPr>
        <w:pStyle w:val="Clauseheading"/>
        <w:widowControl/>
      </w:pPr>
      <w:r>
        <w:t>10</w:t>
      </w:r>
      <w:r>
        <w:tab/>
        <w:t>Application of Divisions 2 and 3 to electrolyte drinks and electrolyte drink bases</w:t>
      </w:r>
    </w:p>
    <w:p w14:paraId="2E2F3C1B" w14:textId="77777777" w:rsidR="0002640D" w:rsidRDefault="0002640D" w:rsidP="0002640D">
      <w:pPr>
        <w:pStyle w:val="Subclause"/>
        <w:rPr>
          <w:b/>
        </w:rPr>
      </w:pPr>
    </w:p>
    <w:p w14:paraId="652194E0" w14:textId="77777777" w:rsidR="0002640D" w:rsidRDefault="0002640D" w:rsidP="0002640D">
      <w:pPr>
        <w:pStyle w:val="Clause"/>
        <w:widowControl/>
      </w:pPr>
      <w:r>
        <w:t>Divisions 2 and 3 do not apply to electrolyte drinks and electrolyte drink bases.</w:t>
      </w:r>
    </w:p>
    <w:p w14:paraId="545930A3" w14:textId="77777777" w:rsidR="0002640D" w:rsidRDefault="0002640D" w:rsidP="0002640D">
      <w:pPr>
        <w:pStyle w:val="Clauseheading"/>
        <w:widowControl/>
      </w:pPr>
    </w:p>
    <w:p w14:paraId="7CABC031" w14:textId="77777777" w:rsidR="0002640D" w:rsidRPr="007565E0" w:rsidRDefault="0002640D" w:rsidP="0002640D">
      <w:pPr>
        <w:pStyle w:val="Clauseheading"/>
        <w:widowControl/>
      </w:pPr>
      <w:r w:rsidRPr="007565E0">
        <w:t>1</w:t>
      </w:r>
      <w:r>
        <w:t>1</w:t>
      </w:r>
      <w:r w:rsidRPr="007565E0">
        <w:tab/>
        <w:t>Application of stock-in-trade provision</w:t>
      </w:r>
    </w:p>
    <w:p w14:paraId="63F915FA" w14:textId="77777777" w:rsidR="0002640D" w:rsidRPr="007565E0" w:rsidRDefault="0002640D" w:rsidP="0002640D">
      <w:pPr>
        <w:widowControl/>
      </w:pPr>
    </w:p>
    <w:p w14:paraId="65CD1386" w14:textId="77777777" w:rsidR="0002640D" w:rsidRPr="007565E0" w:rsidRDefault="0002640D" w:rsidP="0002640D">
      <w:pPr>
        <w:pStyle w:val="Clause"/>
        <w:widowControl/>
      </w:pPr>
      <w:r w:rsidRPr="007565E0">
        <w:t xml:space="preserve">Subclause 1(2) of Standard 1.1.1 does not apply to </w:t>
      </w:r>
      <w:r>
        <w:t xml:space="preserve">the </w:t>
      </w:r>
      <w:r w:rsidRPr="007565E0">
        <w:t>amendments made by the Variation in relation to electrolyte drinks and electrolyte drink bases.</w:t>
      </w:r>
    </w:p>
    <w:p w14:paraId="0772F79D" w14:textId="77777777" w:rsidR="0002640D" w:rsidRPr="007565E0" w:rsidRDefault="0002640D" w:rsidP="0002640D">
      <w:pPr>
        <w:pStyle w:val="Clauseheading"/>
        <w:widowControl/>
      </w:pPr>
    </w:p>
    <w:p w14:paraId="60920625" w14:textId="77777777" w:rsidR="0002640D" w:rsidRPr="007565E0" w:rsidRDefault="0002640D" w:rsidP="0002640D">
      <w:pPr>
        <w:pStyle w:val="Clauseheading"/>
        <w:widowControl/>
      </w:pPr>
      <w:r w:rsidRPr="007565E0">
        <w:t>1</w:t>
      </w:r>
      <w:r>
        <w:t>2</w:t>
      </w:r>
      <w:r w:rsidRPr="007565E0">
        <w:tab/>
        <w:t xml:space="preserve">Transitional </w:t>
      </w:r>
      <w:r>
        <w:t>arrangement to</w:t>
      </w:r>
      <w:r w:rsidRPr="007565E0">
        <w:t xml:space="preserve"> 18 January 2016</w:t>
      </w:r>
    </w:p>
    <w:p w14:paraId="5D02978D" w14:textId="77777777" w:rsidR="0002640D" w:rsidRPr="007565E0" w:rsidRDefault="0002640D" w:rsidP="0002640D">
      <w:pPr>
        <w:widowControl/>
      </w:pPr>
    </w:p>
    <w:p w14:paraId="477CDB75" w14:textId="77777777" w:rsidR="0002640D" w:rsidRPr="007565E0" w:rsidRDefault="0002640D" w:rsidP="0002640D">
      <w:pPr>
        <w:pStyle w:val="Subclause"/>
      </w:pPr>
      <w:r>
        <w:t>(1)</w:t>
      </w:r>
      <w:r>
        <w:tab/>
      </w:r>
      <w:r w:rsidRPr="007565E0">
        <w:t>Notwithstanding clauses 1</w:t>
      </w:r>
      <w:r>
        <w:t>4</w:t>
      </w:r>
      <w:r w:rsidRPr="007565E0">
        <w:t xml:space="preserve"> to 1</w:t>
      </w:r>
      <w:r>
        <w:t>7</w:t>
      </w:r>
      <w:r w:rsidRPr="007565E0">
        <w:t xml:space="preserve">, during the transitional period, an electrolyte drink or electrolyte drink base may comply with either – </w:t>
      </w:r>
    </w:p>
    <w:p w14:paraId="1BFBEC2D" w14:textId="77777777" w:rsidR="0002640D" w:rsidRPr="007565E0" w:rsidRDefault="0002640D" w:rsidP="0002640D">
      <w:pPr>
        <w:pStyle w:val="Subclause"/>
      </w:pPr>
    </w:p>
    <w:p w14:paraId="2AA03791" w14:textId="77777777" w:rsidR="0002640D" w:rsidRPr="007565E0" w:rsidRDefault="0002640D" w:rsidP="0002640D">
      <w:pPr>
        <w:pStyle w:val="Paragraph"/>
        <w:widowControl/>
      </w:pPr>
      <w:r>
        <w:t>(a)</w:t>
      </w:r>
      <w:r>
        <w:tab/>
      </w:r>
      <w:r w:rsidRPr="007565E0">
        <w:t>the Code; or</w:t>
      </w:r>
    </w:p>
    <w:p w14:paraId="5F807883" w14:textId="77777777" w:rsidR="0002640D" w:rsidRPr="007565E0" w:rsidRDefault="0002640D" w:rsidP="0002640D">
      <w:pPr>
        <w:pStyle w:val="Paragraph"/>
        <w:widowControl/>
      </w:pPr>
      <w:r>
        <w:t>(b)</w:t>
      </w:r>
      <w:r>
        <w:tab/>
      </w:r>
      <w:r w:rsidRPr="007565E0">
        <w:t>the Code</w:t>
      </w:r>
      <w:r w:rsidRPr="009B0CE0">
        <w:t xml:space="preserve"> </w:t>
      </w:r>
      <w:r w:rsidRPr="007565E0">
        <w:t xml:space="preserve">as if </w:t>
      </w:r>
      <w:r>
        <w:t>the</w:t>
      </w:r>
      <w:r w:rsidRPr="007565E0">
        <w:t xml:space="preserve"> Variation had not commenced,</w:t>
      </w:r>
    </w:p>
    <w:p w14:paraId="5E9C1454" w14:textId="77777777" w:rsidR="0002640D" w:rsidRPr="007565E0" w:rsidRDefault="0002640D" w:rsidP="0002640D">
      <w:pPr>
        <w:widowControl/>
        <w:rPr>
          <w:sz w:val="20"/>
        </w:rPr>
      </w:pPr>
    </w:p>
    <w:p w14:paraId="24C4B315" w14:textId="77777777" w:rsidR="0002640D" w:rsidRPr="007565E0" w:rsidRDefault="0002640D" w:rsidP="0002640D">
      <w:pPr>
        <w:pStyle w:val="Subclause"/>
      </w:pPr>
      <w:r w:rsidRPr="007565E0">
        <w:t>but not a combination of both.</w:t>
      </w:r>
    </w:p>
    <w:p w14:paraId="2916FAEE" w14:textId="77777777" w:rsidR="0002640D" w:rsidRPr="00A870AD" w:rsidRDefault="0002640D" w:rsidP="0002640D">
      <w:pPr>
        <w:pStyle w:val="Subclause"/>
      </w:pPr>
    </w:p>
    <w:p w14:paraId="71A54F2E" w14:textId="77777777" w:rsidR="0002640D" w:rsidRPr="007565E0" w:rsidRDefault="0002640D" w:rsidP="0002640D">
      <w:pPr>
        <w:pStyle w:val="Subclause"/>
      </w:pPr>
      <w:r>
        <w:t>(2)</w:t>
      </w:r>
      <w:r>
        <w:tab/>
      </w:r>
      <w:r w:rsidRPr="007565E0">
        <w:t xml:space="preserve">For the purposes of </w:t>
      </w:r>
      <w:r>
        <w:t xml:space="preserve">this </w:t>
      </w:r>
      <w:r w:rsidRPr="007565E0">
        <w:t xml:space="preserve">clause, </w:t>
      </w:r>
      <w:r w:rsidRPr="007565E0">
        <w:rPr>
          <w:b/>
        </w:rPr>
        <w:t>transitional period</w:t>
      </w:r>
      <w:r w:rsidRPr="007565E0">
        <w:t xml:space="preserve"> means the period of time that commences on the commencement date of </w:t>
      </w:r>
      <w:r>
        <w:t>the</w:t>
      </w:r>
      <w:r w:rsidRPr="007565E0">
        <w:t xml:space="preserve"> Variation and ends on 18 January 2016.</w:t>
      </w:r>
    </w:p>
    <w:p w14:paraId="6DDB85EE" w14:textId="77777777" w:rsidR="0002640D" w:rsidRPr="007565E0" w:rsidRDefault="0002640D" w:rsidP="0002640D">
      <w:pPr>
        <w:pStyle w:val="Subclause"/>
      </w:pPr>
    </w:p>
    <w:p w14:paraId="19ADDCCC" w14:textId="77777777" w:rsidR="0002640D" w:rsidRPr="007565E0" w:rsidRDefault="0002640D" w:rsidP="0002640D">
      <w:pPr>
        <w:pStyle w:val="Clauseheading"/>
        <w:widowControl/>
      </w:pPr>
      <w:r>
        <w:t>13</w:t>
      </w:r>
      <w:r>
        <w:tab/>
        <w:t>Stock-in-trade period</w:t>
      </w:r>
      <w:r w:rsidRPr="007565E0">
        <w:t xml:space="preserve"> (19 January 2016 </w:t>
      </w:r>
      <w:r w:rsidRPr="00FF7C9C">
        <w:t>–</w:t>
      </w:r>
      <w:r w:rsidRPr="007565E0">
        <w:t>18 January 2017)</w:t>
      </w:r>
    </w:p>
    <w:p w14:paraId="3DFC2FCA" w14:textId="77777777" w:rsidR="0002640D" w:rsidRPr="007565E0" w:rsidRDefault="0002640D" w:rsidP="0002640D">
      <w:pPr>
        <w:pStyle w:val="Subclause"/>
      </w:pPr>
    </w:p>
    <w:p w14:paraId="0EC21C45" w14:textId="77777777" w:rsidR="0002640D" w:rsidRPr="007565E0" w:rsidRDefault="0002640D" w:rsidP="0002640D">
      <w:pPr>
        <w:pStyle w:val="Subclause"/>
      </w:pPr>
      <w:r>
        <w:t>(1)</w:t>
      </w:r>
      <w:r>
        <w:tab/>
      </w:r>
      <w:r w:rsidRPr="007565E0">
        <w:t>Notwithstanding clauses 1</w:t>
      </w:r>
      <w:r>
        <w:t>4</w:t>
      </w:r>
      <w:r w:rsidRPr="007565E0">
        <w:t xml:space="preserve"> to 1</w:t>
      </w:r>
      <w:r>
        <w:t>7</w:t>
      </w:r>
      <w:r w:rsidRPr="007565E0">
        <w:t xml:space="preserve">, during the </w:t>
      </w:r>
      <w:r>
        <w:t>stock-in-trade</w:t>
      </w:r>
      <w:r w:rsidRPr="007565E0">
        <w:t xml:space="preserve"> period, an electrolyte drink or electrolyte drink base may comply with either – </w:t>
      </w:r>
    </w:p>
    <w:p w14:paraId="47C34C45" w14:textId="77777777" w:rsidR="0002640D" w:rsidRPr="007565E0" w:rsidRDefault="0002640D" w:rsidP="0002640D">
      <w:pPr>
        <w:pStyle w:val="Subclause"/>
      </w:pPr>
    </w:p>
    <w:p w14:paraId="2A51DEAA" w14:textId="77777777" w:rsidR="0002640D" w:rsidRPr="007565E0" w:rsidRDefault="0002640D" w:rsidP="0002640D">
      <w:pPr>
        <w:pStyle w:val="Paragraph"/>
        <w:widowControl/>
      </w:pPr>
      <w:r>
        <w:t>(a)</w:t>
      </w:r>
      <w:r>
        <w:tab/>
      </w:r>
      <w:r w:rsidRPr="007565E0">
        <w:t>the Code; or</w:t>
      </w:r>
    </w:p>
    <w:p w14:paraId="21D7F34E" w14:textId="77777777" w:rsidR="0002640D" w:rsidRPr="007565E0" w:rsidRDefault="0002640D" w:rsidP="0002640D">
      <w:pPr>
        <w:pStyle w:val="Paragraph"/>
        <w:widowControl/>
      </w:pPr>
      <w:r>
        <w:t>(b)</w:t>
      </w:r>
      <w:r>
        <w:tab/>
      </w:r>
      <w:r w:rsidRPr="007565E0">
        <w:t>the</w:t>
      </w:r>
      <w:r>
        <w:t xml:space="preserve"> Code</w:t>
      </w:r>
      <w:r w:rsidRPr="00DF28CB">
        <w:t xml:space="preserve"> </w:t>
      </w:r>
      <w:r w:rsidRPr="007565E0">
        <w:t xml:space="preserve">as if </w:t>
      </w:r>
      <w:r>
        <w:t>the</w:t>
      </w:r>
      <w:r w:rsidRPr="007565E0">
        <w:t xml:space="preserve"> Variation had not commenced</w:t>
      </w:r>
      <w:r>
        <w:t xml:space="preserve">, provided that </w:t>
      </w:r>
      <w:r w:rsidRPr="007565E0">
        <w:t xml:space="preserve">the food product </w:t>
      </w:r>
      <w:r>
        <w:t>complied</w:t>
      </w:r>
      <w:r w:rsidRPr="007565E0">
        <w:t xml:space="preserve"> with </w:t>
      </w:r>
      <w:r>
        <w:t>that</w:t>
      </w:r>
      <w:r w:rsidRPr="007565E0">
        <w:t xml:space="preserve"> version of the Code during the transitional period,</w:t>
      </w:r>
    </w:p>
    <w:p w14:paraId="749DBF1D" w14:textId="77777777" w:rsidR="0002640D" w:rsidRPr="007565E0" w:rsidRDefault="0002640D" w:rsidP="0002640D">
      <w:pPr>
        <w:widowControl/>
        <w:rPr>
          <w:sz w:val="20"/>
        </w:rPr>
      </w:pPr>
    </w:p>
    <w:p w14:paraId="62B9BC2F" w14:textId="77777777" w:rsidR="0002640D" w:rsidRPr="007565E0" w:rsidRDefault="0002640D" w:rsidP="0002640D">
      <w:pPr>
        <w:pStyle w:val="Subclause"/>
      </w:pPr>
      <w:r w:rsidRPr="007565E0">
        <w:t>but not a combination of both.</w:t>
      </w:r>
    </w:p>
    <w:p w14:paraId="0A7552A2" w14:textId="77777777" w:rsidR="0002640D" w:rsidRPr="007565E0" w:rsidRDefault="0002640D" w:rsidP="0002640D">
      <w:pPr>
        <w:pStyle w:val="Subclause"/>
      </w:pPr>
    </w:p>
    <w:p w14:paraId="51EFD87B" w14:textId="77777777" w:rsidR="0002640D" w:rsidRPr="007565E0" w:rsidRDefault="0002640D" w:rsidP="0002640D">
      <w:pPr>
        <w:pStyle w:val="Subclause"/>
      </w:pPr>
      <w:r>
        <w:t>(2)</w:t>
      </w:r>
      <w:r>
        <w:tab/>
      </w:r>
      <w:r w:rsidRPr="007565E0">
        <w:t xml:space="preserve">For the purposes of </w:t>
      </w:r>
      <w:r>
        <w:t xml:space="preserve">this </w:t>
      </w:r>
      <w:r w:rsidRPr="007565E0">
        <w:t xml:space="preserve">clause, </w:t>
      </w:r>
      <w:r>
        <w:rPr>
          <w:b/>
        </w:rPr>
        <w:t xml:space="preserve">the stock-in-trade </w:t>
      </w:r>
      <w:r w:rsidRPr="007565E0">
        <w:rPr>
          <w:b/>
        </w:rPr>
        <w:t>period</w:t>
      </w:r>
      <w:r w:rsidRPr="007565E0">
        <w:t xml:space="preserve"> means the period of time that commences on 19 January 2016 and ends on 18 January 2017.</w:t>
      </w:r>
    </w:p>
    <w:p w14:paraId="7950D965" w14:textId="77777777" w:rsidR="0002640D" w:rsidRDefault="0002640D" w:rsidP="0002640D">
      <w:pPr>
        <w:widowControl/>
      </w:pPr>
    </w:p>
    <w:p w14:paraId="2DB0FB6B" w14:textId="77777777" w:rsidR="0002640D" w:rsidRDefault="0002640D" w:rsidP="0002640D">
      <w:pPr>
        <w:pStyle w:val="Clauseheading"/>
        <w:widowControl/>
      </w:pPr>
      <w:r>
        <w:t>14</w:t>
      </w:r>
      <w:r>
        <w:tab/>
        <w:t>Composition of electrolyte drinks and electrolyte drink bases</w:t>
      </w:r>
    </w:p>
    <w:p w14:paraId="79A9F7EE" w14:textId="77777777" w:rsidR="0002640D" w:rsidRPr="004000C9" w:rsidRDefault="0002640D" w:rsidP="0002640D">
      <w:pPr>
        <w:widowControl/>
      </w:pPr>
    </w:p>
    <w:p w14:paraId="08997148" w14:textId="77777777" w:rsidR="0002640D" w:rsidRDefault="0002640D" w:rsidP="0002640D">
      <w:pPr>
        <w:pStyle w:val="Subclause"/>
      </w:pPr>
      <w:r>
        <w:t>(1)</w:t>
      </w:r>
      <w:r>
        <w:tab/>
        <w:t>An electrolyte drink, or an electrolyte drink base when made up</w:t>
      </w:r>
      <w:r w:rsidRPr="001D5B18">
        <w:t xml:space="preserve"> </w:t>
      </w:r>
      <w:r>
        <w:t>according to directions, must contain no less than 10 mmol/L of sodium.</w:t>
      </w:r>
    </w:p>
    <w:p w14:paraId="019B888A" w14:textId="77777777" w:rsidR="0002640D" w:rsidRDefault="0002640D" w:rsidP="0002640D">
      <w:pPr>
        <w:pStyle w:val="Subclause"/>
      </w:pPr>
    </w:p>
    <w:p w14:paraId="46D1BE25" w14:textId="77777777" w:rsidR="0002640D" w:rsidRDefault="0002640D" w:rsidP="0002640D">
      <w:pPr>
        <w:pStyle w:val="Subclause"/>
      </w:pPr>
      <w:r>
        <w:t>(2)</w:t>
      </w:r>
      <w:r>
        <w:tab/>
        <w:t>An electrolyte drink, or an electrolyte drink base when made up according to directions, must contain –</w:t>
      </w:r>
    </w:p>
    <w:p w14:paraId="77786B21" w14:textId="77777777" w:rsidR="0002640D" w:rsidRDefault="0002640D" w:rsidP="0002640D">
      <w:pPr>
        <w:widowControl/>
      </w:pPr>
    </w:p>
    <w:p w14:paraId="61B2C68D" w14:textId="77777777" w:rsidR="0002640D" w:rsidRDefault="0002640D" w:rsidP="0002640D">
      <w:pPr>
        <w:pStyle w:val="Paragraph"/>
        <w:widowControl/>
      </w:pPr>
      <w:r>
        <w:t>(a)</w:t>
      </w:r>
      <w:r>
        <w:tab/>
        <w:t>no less than 50 g/L and no more than 100 g/L total –</w:t>
      </w:r>
    </w:p>
    <w:p w14:paraId="2277E8EA" w14:textId="77777777" w:rsidR="0002640D" w:rsidRDefault="0002640D" w:rsidP="0002640D">
      <w:pPr>
        <w:widowControl/>
      </w:pPr>
    </w:p>
    <w:p w14:paraId="6D2F1CBE" w14:textId="77777777" w:rsidR="0002640D" w:rsidRDefault="0002640D" w:rsidP="0002640D">
      <w:pPr>
        <w:pStyle w:val="Subparagraph"/>
        <w:widowControl/>
      </w:pPr>
      <w:r>
        <w:t>(i)</w:t>
      </w:r>
      <w:r>
        <w:tab/>
        <w:t>dextrose; and</w:t>
      </w:r>
    </w:p>
    <w:p w14:paraId="436E86A8" w14:textId="77777777" w:rsidR="0002640D" w:rsidRDefault="0002640D" w:rsidP="0002640D">
      <w:pPr>
        <w:pStyle w:val="Subparagraph"/>
        <w:widowControl/>
      </w:pPr>
      <w:r>
        <w:t>(ii)</w:t>
      </w:r>
      <w:r>
        <w:tab/>
        <w:t>fructose; and</w:t>
      </w:r>
    </w:p>
    <w:p w14:paraId="0230A896" w14:textId="77777777" w:rsidR="0002640D" w:rsidRDefault="0002640D" w:rsidP="0002640D">
      <w:pPr>
        <w:pStyle w:val="Subparagraph"/>
        <w:widowControl/>
      </w:pPr>
      <w:r>
        <w:t>(iii)</w:t>
      </w:r>
      <w:r>
        <w:tab/>
        <w:t>glucose syrup; and</w:t>
      </w:r>
    </w:p>
    <w:p w14:paraId="1FC035E5" w14:textId="77777777" w:rsidR="0002640D" w:rsidRDefault="0002640D" w:rsidP="0002640D">
      <w:pPr>
        <w:pStyle w:val="Subparagraph"/>
        <w:widowControl/>
      </w:pPr>
      <w:r>
        <w:t>(iv)</w:t>
      </w:r>
      <w:r>
        <w:tab/>
        <w:t>maltodextrin; and</w:t>
      </w:r>
    </w:p>
    <w:p w14:paraId="2BE05CE6" w14:textId="77777777" w:rsidR="0002640D" w:rsidRDefault="0002640D" w:rsidP="0002640D">
      <w:pPr>
        <w:pStyle w:val="Subparagraph"/>
        <w:widowControl/>
      </w:pPr>
      <w:r>
        <w:t>(v)</w:t>
      </w:r>
      <w:r>
        <w:tab/>
        <w:t>sucrose; and</w:t>
      </w:r>
    </w:p>
    <w:p w14:paraId="5958B1B4" w14:textId="77777777" w:rsidR="0002640D" w:rsidRDefault="0002640D" w:rsidP="0002640D">
      <w:pPr>
        <w:widowControl/>
      </w:pPr>
    </w:p>
    <w:p w14:paraId="3AA6318A" w14:textId="77777777" w:rsidR="0002640D" w:rsidRDefault="0002640D" w:rsidP="0002640D">
      <w:pPr>
        <w:pStyle w:val="Paragraph"/>
        <w:widowControl/>
      </w:pPr>
      <w:r>
        <w:t>(b)</w:t>
      </w:r>
      <w:r>
        <w:tab/>
        <w:t>no more than 50 g/L fructose.</w:t>
      </w:r>
    </w:p>
    <w:p w14:paraId="14C74B3C" w14:textId="77777777" w:rsidR="0002640D" w:rsidRPr="00F43E18" w:rsidRDefault="0002640D" w:rsidP="0002640D"/>
    <w:p w14:paraId="3C9DF6F1" w14:textId="77777777" w:rsidR="0002640D" w:rsidRDefault="0002640D" w:rsidP="0002640D">
      <w:pPr>
        <w:widowControl/>
      </w:pPr>
      <w:r>
        <w:t>(3)</w:t>
      </w:r>
      <w:r>
        <w:tab/>
        <w:t>An electrolyte drink, or an electrolyte drink base when made up</w:t>
      </w:r>
      <w:r w:rsidRPr="001D5B18">
        <w:t xml:space="preserve"> </w:t>
      </w:r>
      <w:r>
        <w:t>according to directions, may contain –</w:t>
      </w:r>
    </w:p>
    <w:p w14:paraId="13175398" w14:textId="77777777" w:rsidR="0002640D" w:rsidRDefault="0002640D" w:rsidP="0002640D">
      <w:pPr>
        <w:widowControl/>
      </w:pPr>
    </w:p>
    <w:p w14:paraId="00EEB21C" w14:textId="77777777" w:rsidR="0002640D" w:rsidRDefault="0002640D" w:rsidP="0002640D">
      <w:pPr>
        <w:pStyle w:val="Paragraph"/>
        <w:widowControl/>
      </w:pPr>
      <w:r>
        <w:lastRenderedPageBreak/>
        <w:t>(a)</w:t>
      </w:r>
      <w:r>
        <w:tab/>
        <w:t>calcium phosphates; and</w:t>
      </w:r>
    </w:p>
    <w:p w14:paraId="60337F03" w14:textId="77777777" w:rsidR="0002640D" w:rsidRDefault="0002640D" w:rsidP="0002640D">
      <w:pPr>
        <w:pStyle w:val="Paragraph"/>
        <w:widowControl/>
      </w:pPr>
      <w:r>
        <w:t>(b)</w:t>
      </w:r>
      <w:r>
        <w:tab/>
        <w:t>potassium phosphates; and</w:t>
      </w:r>
    </w:p>
    <w:p w14:paraId="329C81B0" w14:textId="77777777" w:rsidR="0002640D" w:rsidRDefault="0002640D" w:rsidP="0002640D">
      <w:pPr>
        <w:pStyle w:val="Paragraph"/>
        <w:widowControl/>
      </w:pPr>
      <w:r>
        <w:t>(c)</w:t>
      </w:r>
      <w:r>
        <w:tab/>
        <w:t>calcium citrates; and</w:t>
      </w:r>
    </w:p>
    <w:p w14:paraId="39281BF3" w14:textId="77777777" w:rsidR="0002640D" w:rsidRDefault="0002640D" w:rsidP="0002640D">
      <w:pPr>
        <w:pStyle w:val="Paragraph"/>
        <w:widowControl/>
      </w:pPr>
      <w:r>
        <w:t>(d)</w:t>
      </w:r>
      <w:r>
        <w:tab/>
        <w:t>potassium citrates; and</w:t>
      </w:r>
    </w:p>
    <w:p w14:paraId="52C4F90A" w14:textId="77777777" w:rsidR="0002640D" w:rsidRDefault="0002640D" w:rsidP="0002640D">
      <w:pPr>
        <w:pStyle w:val="Paragraph"/>
        <w:widowControl/>
      </w:pPr>
      <w:r>
        <w:t>(e)</w:t>
      </w:r>
      <w:r>
        <w:tab/>
        <w:t>sodium citrates; and</w:t>
      </w:r>
    </w:p>
    <w:p w14:paraId="6992E493" w14:textId="77777777" w:rsidR="0002640D" w:rsidRDefault="0002640D" w:rsidP="0002640D">
      <w:pPr>
        <w:pStyle w:val="Paragraph"/>
        <w:widowControl/>
      </w:pPr>
      <w:r>
        <w:t>(f)</w:t>
      </w:r>
      <w:r>
        <w:tab/>
        <w:t>potassium carbonates, including potassium bicarbonate; and</w:t>
      </w:r>
    </w:p>
    <w:p w14:paraId="4357C37A" w14:textId="77777777" w:rsidR="0002640D" w:rsidRDefault="0002640D" w:rsidP="0002640D">
      <w:pPr>
        <w:pStyle w:val="Paragraph"/>
        <w:widowControl/>
      </w:pPr>
      <w:r>
        <w:t>(g)</w:t>
      </w:r>
      <w:r>
        <w:tab/>
        <w:t>potassium chloride; and</w:t>
      </w:r>
    </w:p>
    <w:p w14:paraId="18F304A0" w14:textId="77777777" w:rsidR="0002640D" w:rsidRDefault="0002640D" w:rsidP="0002640D">
      <w:pPr>
        <w:pStyle w:val="Paragraph"/>
        <w:widowControl/>
      </w:pPr>
      <w:r>
        <w:t>(h)</w:t>
      </w:r>
      <w:r>
        <w:tab/>
        <w:t>calcium chloride; and</w:t>
      </w:r>
    </w:p>
    <w:p w14:paraId="3E0537C8" w14:textId="77777777" w:rsidR="0002640D" w:rsidRDefault="0002640D" w:rsidP="0002640D">
      <w:pPr>
        <w:pStyle w:val="Paragraph"/>
        <w:widowControl/>
      </w:pPr>
      <w:r>
        <w:t>(i)</w:t>
      </w:r>
      <w:r>
        <w:tab/>
        <w:t>sodium chloride; and</w:t>
      </w:r>
    </w:p>
    <w:p w14:paraId="6939BC56" w14:textId="77777777" w:rsidR="0002640D" w:rsidRDefault="0002640D" w:rsidP="0002640D">
      <w:pPr>
        <w:pStyle w:val="Paragraph"/>
        <w:widowControl/>
      </w:pPr>
      <w:r>
        <w:t>(j)</w:t>
      </w:r>
      <w:r>
        <w:tab/>
        <w:t>calcium lactate; and</w:t>
      </w:r>
    </w:p>
    <w:p w14:paraId="66FB106C" w14:textId="77777777" w:rsidR="0002640D" w:rsidRDefault="0002640D" w:rsidP="0002640D">
      <w:pPr>
        <w:pStyle w:val="Paragraph"/>
        <w:widowControl/>
      </w:pPr>
      <w:r>
        <w:t>(k)</w:t>
      </w:r>
      <w:r>
        <w:tab/>
        <w:t>magnesium lactate; and</w:t>
      </w:r>
    </w:p>
    <w:p w14:paraId="48B1EFA0" w14:textId="77777777" w:rsidR="0002640D" w:rsidRPr="009F24E0" w:rsidRDefault="0002640D" w:rsidP="0002640D">
      <w:pPr>
        <w:pStyle w:val="Paragraph"/>
        <w:widowControl/>
      </w:pPr>
      <w:r w:rsidRPr="009F24E0">
        <w:t>(l)</w:t>
      </w:r>
      <w:r w:rsidRPr="009F24E0">
        <w:tab/>
        <w:t>magnesium sulphate.</w:t>
      </w:r>
    </w:p>
    <w:p w14:paraId="6D42B8A5" w14:textId="77777777" w:rsidR="0002640D" w:rsidRDefault="0002640D" w:rsidP="0002640D">
      <w:pPr>
        <w:widowControl/>
      </w:pPr>
    </w:p>
    <w:p w14:paraId="33B284E2" w14:textId="77777777" w:rsidR="0002640D" w:rsidRDefault="0002640D" w:rsidP="0002640D">
      <w:pPr>
        <w:pStyle w:val="Clauseheading"/>
        <w:widowControl/>
      </w:pPr>
      <w:r>
        <w:t>15</w:t>
      </w:r>
      <w:r>
        <w:tab/>
        <w:t>Labelling of electrolyte drinks and electrolyte drink bases</w:t>
      </w:r>
    </w:p>
    <w:p w14:paraId="62A09E27" w14:textId="77777777" w:rsidR="0002640D" w:rsidRDefault="0002640D" w:rsidP="0002640D">
      <w:pPr>
        <w:widowControl/>
      </w:pPr>
    </w:p>
    <w:p w14:paraId="46E02605" w14:textId="77777777" w:rsidR="0002640D" w:rsidRDefault="0002640D" w:rsidP="0002640D">
      <w:pPr>
        <w:pStyle w:val="Subclause"/>
      </w:pPr>
      <w:r>
        <w:t>(1)</w:t>
      </w:r>
      <w:r>
        <w:tab/>
        <w:t>The label on a package of electrolyte drink or electrolyte drink base must include a nutrition information panel.</w:t>
      </w:r>
    </w:p>
    <w:p w14:paraId="201F5E37" w14:textId="77777777" w:rsidR="0002640D" w:rsidRPr="00710849" w:rsidRDefault="0002640D" w:rsidP="0002640D">
      <w:pPr>
        <w:widowControl/>
      </w:pPr>
    </w:p>
    <w:p w14:paraId="6E6E39FF" w14:textId="77777777" w:rsidR="0002640D" w:rsidRDefault="0002640D" w:rsidP="0002640D">
      <w:pPr>
        <w:pStyle w:val="Subclause"/>
      </w:pPr>
      <w:r>
        <w:t>(2)</w:t>
      </w:r>
      <w:r>
        <w:tab/>
        <w:t>The nutrition information panel</w:t>
      </w:r>
      <w:r>
        <w:rPr>
          <w:b/>
        </w:rPr>
        <w:t xml:space="preserve"> </w:t>
      </w:r>
      <w:r>
        <w:t>referred to in subclause (1) must include a declaration of the average quantity per serving and per unit quantity, as ready to drink, of –</w:t>
      </w:r>
    </w:p>
    <w:p w14:paraId="15B3D98F" w14:textId="77777777" w:rsidR="0002640D" w:rsidRDefault="0002640D" w:rsidP="0002640D">
      <w:pPr>
        <w:widowControl/>
      </w:pPr>
    </w:p>
    <w:p w14:paraId="2FAE0869" w14:textId="77777777" w:rsidR="0002640D" w:rsidRDefault="0002640D" w:rsidP="0002640D">
      <w:pPr>
        <w:pStyle w:val="Paragraph"/>
        <w:widowControl/>
      </w:pPr>
      <w:r>
        <w:t>(a)</w:t>
      </w:r>
      <w:r>
        <w:tab/>
        <w:t>each type of monosaccharide and disaccharide present; and</w:t>
      </w:r>
    </w:p>
    <w:p w14:paraId="4285663B" w14:textId="77777777" w:rsidR="0002640D" w:rsidRDefault="0002640D" w:rsidP="0002640D">
      <w:pPr>
        <w:pStyle w:val="Paragraph"/>
        <w:widowControl/>
      </w:pPr>
      <w:r>
        <w:t>(b)</w:t>
      </w:r>
      <w:r>
        <w:tab/>
        <w:t>milligrams and millimoles of the added minerals and electrolytes.</w:t>
      </w:r>
    </w:p>
    <w:p w14:paraId="12AFC738" w14:textId="77777777" w:rsidR="0002640D" w:rsidRDefault="0002640D" w:rsidP="0002640D">
      <w:pPr>
        <w:widowControl/>
      </w:pPr>
    </w:p>
    <w:p w14:paraId="7C7A6464" w14:textId="77777777" w:rsidR="0002640D" w:rsidRDefault="0002640D" w:rsidP="0002640D">
      <w:pPr>
        <w:pStyle w:val="Subclause"/>
      </w:pPr>
      <w:r>
        <w:t>(3)</w:t>
      </w:r>
      <w:r>
        <w:tab/>
        <w:t>The information prescribed in subclause (2) must be provided in accordance with clause 4 of Standard 1.2.8 if –</w:t>
      </w:r>
    </w:p>
    <w:p w14:paraId="7E6A413E" w14:textId="77777777" w:rsidR="0002640D" w:rsidRDefault="0002640D" w:rsidP="0002640D">
      <w:pPr>
        <w:pStyle w:val="Clause"/>
        <w:widowControl/>
      </w:pPr>
    </w:p>
    <w:p w14:paraId="4D55DD89" w14:textId="77777777" w:rsidR="0002640D" w:rsidRDefault="0002640D" w:rsidP="0002640D">
      <w:pPr>
        <w:pStyle w:val="Paragraph"/>
        <w:widowControl/>
      </w:pPr>
      <w:r>
        <w:t>(a)</w:t>
      </w:r>
      <w:r>
        <w:tab/>
      </w:r>
      <w:r w:rsidRPr="00700F8C">
        <w:t xml:space="preserve">a claim requiring nutrition information is made </w:t>
      </w:r>
      <w:r>
        <w:t>about an electrolyte drink or electrolyte drink base; and</w:t>
      </w:r>
    </w:p>
    <w:p w14:paraId="7220ADE7" w14:textId="77777777" w:rsidR="0002640D" w:rsidRDefault="0002640D" w:rsidP="0002640D">
      <w:pPr>
        <w:pStyle w:val="Paragraph"/>
        <w:widowControl/>
      </w:pPr>
      <w:r>
        <w:t>(b)</w:t>
      </w:r>
      <w:r>
        <w:tab/>
        <w:t xml:space="preserve">the electrolyte drink or electrolyte drink base is not required to bear a label pursuant to clause 2 of Standard 1.2.1.  </w:t>
      </w:r>
    </w:p>
    <w:p w14:paraId="6ABC6EA7" w14:textId="77777777" w:rsidR="0002640D" w:rsidRDefault="0002640D" w:rsidP="0002640D">
      <w:pPr>
        <w:widowControl/>
      </w:pPr>
    </w:p>
    <w:p w14:paraId="59EDE0B2" w14:textId="77777777" w:rsidR="0002640D" w:rsidRDefault="0002640D" w:rsidP="0002640D">
      <w:pPr>
        <w:pStyle w:val="Subclause"/>
      </w:pPr>
      <w:r>
        <w:t>(4)</w:t>
      </w:r>
      <w:r>
        <w:tab/>
      </w:r>
      <w:r w:rsidRPr="00211455">
        <w:t>Electrolyte drink is a prescribed name for electrolyte drinks and electrolyte drink bases.</w:t>
      </w:r>
    </w:p>
    <w:p w14:paraId="15D1F950" w14:textId="77777777" w:rsidR="0002640D" w:rsidRDefault="0002640D" w:rsidP="0002640D">
      <w:pPr>
        <w:widowControl/>
      </w:pPr>
    </w:p>
    <w:p w14:paraId="33563413" w14:textId="77777777" w:rsidR="0002640D" w:rsidRDefault="0002640D" w:rsidP="0002640D">
      <w:pPr>
        <w:pStyle w:val="Subclause"/>
      </w:pPr>
      <w:r>
        <w:t>(5)</w:t>
      </w:r>
      <w:r>
        <w:tab/>
        <w:t xml:space="preserve">For the purposes of this clause, </w:t>
      </w:r>
      <w:r>
        <w:rPr>
          <w:b/>
        </w:rPr>
        <w:t>unit quantity</w:t>
      </w:r>
      <w:r>
        <w:t xml:space="preserve"> has the meaning given by Standard 1.2.8.</w:t>
      </w:r>
    </w:p>
    <w:p w14:paraId="0D1897B8" w14:textId="77777777" w:rsidR="0002640D" w:rsidRDefault="0002640D" w:rsidP="0002640D">
      <w:pPr>
        <w:widowControl/>
      </w:pPr>
    </w:p>
    <w:p w14:paraId="03812705" w14:textId="77777777" w:rsidR="0002640D" w:rsidRDefault="0002640D" w:rsidP="0002640D">
      <w:pPr>
        <w:pStyle w:val="Subclause"/>
      </w:pPr>
      <w:r>
        <w:t>(6)</w:t>
      </w:r>
      <w:r>
        <w:tab/>
        <w:t xml:space="preserve">For the purposes of this clause, </w:t>
      </w:r>
      <w:r w:rsidRPr="0038153C">
        <w:rPr>
          <w:b/>
        </w:rPr>
        <w:t>a</w:t>
      </w:r>
      <w:r w:rsidRPr="007C7925">
        <w:rPr>
          <w:b/>
        </w:rPr>
        <w:t xml:space="preserve"> claim requiring nutrition information</w:t>
      </w:r>
      <w:r>
        <w:t xml:space="preserve"> has the meaning given by Standard 1.2.8.</w:t>
      </w:r>
    </w:p>
    <w:p w14:paraId="0CC28EA3" w14:textId="77777777" w:rsidR="0002640D" w:rsidRDefault="0002640D" w:rsidP="0002640D">
      <w:pPr>
        <w:pStyle w:val="Clauseheading"/>
        <w:widowControl/>
      </w:pPr>
    </w:p>
    <w:p w14:paraId="1EE6AFF3" w14:textId="77777777" w:rsidR="0002640D" w:rsidRDefault="0002640D" w:rsidP="0002640D">
      <w:pPr>
        <w:pStyle w:val="Clauseheading"/>
        <w:widowControl/>
      </w:pPr>
      <w:r>
        <w:t>16</w:t>
      </w:r>
      <w:r>
        <w:tab/>
        <w:t>H</w:t>
      </w:r>
      <w:r w:rsidRPr="000C3610">
        <w:t>ealth claims</w:t>
      </w:r>
      <w:r>
        <w:t xml:space="preserve"> about e</w:t>
      </w:r>
      <w:r w:rsidRPr="000C3610">
        <w:t>lectrolyte drinks and electrolyte drink bases</w:t>
      </w:r>
      <w:r>
        <w:tab/>
      </w:r>
    </w:p>
    <w:p w14:paraId="12F8C19D" w14:textId="77777777" w:rsidR="0002640D" w:rsidRDefault="0002640D" w:rsidP="0002640D">
      <w:pPr>
        <w:pStyle w:val="Clause"/>
        <w:widowControl/>
      </w:pPr>
    </w:p>
    <w:p w14:paraId="6C2870AF" w14:textId="77777777" w:rsidR="0002640D" w:rsidRDefault="0002640D" w:rsidP="0002640D">
      <w:pPr>
        <w:pStyle w:val="Clause"/>
        <w:widowControl/>
      </w:pPr>
      <w:r>
        <w:t>A health claim made about an electrolyte drink or an electrolyte drink base must –</w:t>
      </w:r>
    </w:p>
    <w:p w14:paraId="6677E2CE" w14:textId="77777777" w:rsidR="0002640D" w:rsidRPr="00A870AD" w:rsidRDefault="0002640D" w:rsidP="0002640D">
      <w:pPr>
        <w:pStyle w:val="Subclause"/>
      </w:pPr>
    </w:p>
    <w:p w14:paraId="2044F525" w14:textId="77777777" w:rsidR="0002640D" w:rsidRDefault="0002640D" w:rsidP="0002640D">
      <w:pPr>
        <w:pStyle w:val="Paragraph"/>
        <w:widowControl/>
      </w:pPr>
      <w:r>
        <w:t>(a)</w:t>
      </w:r>
      <w:r>
        <w:tab/>
        <w:t>be made in accordance with Standard 1.2.7; and</w:t>
      </w:r>
    </w:p>
    <w:p w14:paraId="107D4D08" w14:textId="77777777" w:rsidR="0002640D" w:rsidRPr="0041578D" w:rsidRDefault="0002640D" w:rsidP="0002640D">
      <w:pPr>
        <w:pStyle w:val="Paragraph"/>
        <w:widowControl/>
        <w:rPr>
          <w:highlight w:val="yellow"/>
        </w:rPr>
      </w:pPr>
      <w:r>
        <w:t>(b)</w:t>
      </w:r>
      <w:r>
        <w:tab/>
      </w:r>
      <w:r w:rsidRPr="007565E0">
        <w:t xml:space="preserve">relate only </w:t>
      </w:r>
      <w:r>
        <w:t>to the rapid replacement of fluid, carbohydrates and electrolytes lost as a result of sustained strenuous physical activity</w:t>
      </w:r>
      <w:r w:rsidRPr="007565E0">
        <w:t>.</w:t>
      </w:r>
    </w:p>
    <w:p w14:paraId="3200F569" w14:textId="77777777" w:rsidR="0002640D" w:rsidRDefault="0002640D" w:rsidP="0002640D">
      <w:pPr>
        <w:pStyle w:val="Clause"/>
        <w:widowControl/>
      </w:pPr>
    </w:p>
    <w:p w14:paraId="69D39E40" w14:textId="77777777" w:rsidR="0002640D" w:rsidRDefault="0002640D" w:rsidP="0002640D">
      <w:pPr>
        <w:pStyle w:val="Clauseheading"/>
        <w:widowControl/>
      </w:pPr>
      <w:r>
        <w:t>17</w:t>
      </w:r>
      <w:r>
        <w:tab/>
        <w:t>Claims in relation to the tonicity of electrolyte drinks</w:t>
      </w:r>
    </w:p>
    <w:p w14:paraId="766AE6AC" w14:textId="77777777" w:rsidR="0002640D" w:rsidRDefault="0002640D" w:rsidP="0002640D">
      <w:pPr>
        <w:widowControl/>
      </w:pPr>
    </w:p>
    <w:p w14:paraId="7E204420" w14:textId="77777777" w:rsidR="0002640D" w:rsidRPr="00BB4143" w:rsidRDefault="0002640D" w:rsidP="0002640D">
      <w:pPr>
        <w:pStyle w:val="Subclause"/>
      </w:pPr>
      <w:r w:rsidRPr="00BB4143">
        <w:t>(1)</w:t>
      </w:r>
      <w:r w:rsidRPr="00BB4143">
        <w:tab/>
        <w:t>A claim that an electrolyte drink is isotonic may only be made if the electrolyte drink has an average osmolality of 250</w:t>
      </w:r>
      <w:r>
        <w:t>–</w:t>
      </w:r>
      <w:r w:rsidRPr="00BB4143">
        <w:t>340 milliOsmol/L.</w:t>
      </w:r>
    </w:p>
    <w:p w14:paraId="36E27257" w14:textId="77777777" w:rsidR="0002640D" w:rsidRPr="00BB4143" w:rsidRDefault="0002640D" w:rsidP="0002640D">
      <w:pPr>
        <w:pStyle w:val="Subclause"/>
      </w:pPr>
    </w:p>
    <w:p w14:paraId="2849510B" w14:textId="77777777" w:rsidR="0002640D" w:rsidRPr="00BB4143" w:rsidRDefault="0002640D" w:rsidP="0002640D">
      <w:pPr>
        <w:pStyle w:val="Subclause"/>
      </w:pPr>
      <w:r w:rsidRPr="00BB4143">
        <w:t>(2)</w:t>
      </w:r>
      <w:r w:rsidRPr="00BB4143">
        <w:tab/>
        <w:t>Where a claim is made that an electrolyte drink is isotonic, hypertonic or hypotonic, the osmolality of the electrolyte drink as measured in milliOsmol/L must be declared on the label of the package.</w:t>
      </w:r>
    </w:p>
    <w:p w14:paraId="1FB6D9E1" w14:textId="77777777" w:rsidR="0002640D" w:rsidRPr="00BB4143" w:rsidRDefault="0002640D" w:rsidP="0002640D">
      <w:pPr>
        <w:pStyle w:val="Subclause"/>
      </w:pPr>
      <w:r>
        <w:t>(3)</w:t>
      </w:r>
      <w:r>
        <w:tab/>
      </w:r>
      <w:r w:rsidRPr="00BB4143">
        <w:t xml:space="preserve">The label on a package of isotonic electrolyte drink may include words to the effect that the product is designed to promote the availability of energy and to prevent or treat mild dehydration that may occur as a result of sustained strenuous exercise.” </w:t>
      </w:r>
    </w:p>
    <w:p w14:paraId="44D16022" w14:textId="77777777" w:rsidR="0002640D" w:rsidRPr="00EC184B" w:rsidRDefault="0002640D" w:rsidP="0002640D">
      <w:pPr>
        <w:pStyle w:val="Subclause"/>
      </w:pPr>
    </w:p>
    <w:p w14:paraId="2F61D890" w14:textId="6935BC81" w:rsidR="0012388D" w:rsidRDefault="0002640D" w:rsidP="0002640D">
      <w:pPr>
        <w:pStyle w:val="Subclause"/>
      </w:pPr>
      <w:r>
        <w:lastRenderedPageBreak/>
        <w:t>[4.9]</w:t>
      </w:r>
      <w:r>
        <w:tab/>
      </w:r>
      <w:r w:rsidRPr="00654331">
        <w:t>updating the Table of Provisions</w:t>
      </w:r>
      <w:r w:rsidRPr="00654331">
        <w:rPr>
          <w:iCs/>
        </w:rPr>
        <w:t xml:space="preserve"> to reflect these variations</w:t>
      </w:r>
    </w:p>
    <w:sectPr w:rsidR="0012388D" w:rsidSect="00812C3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F5459" w14:textId="77777777" w:rsidR="001D3755" w:rsidRDefault="001D3755">
      <w:r>
        <w:separator/>
      </w:r>
    </w:p>
    <w:p w14:paraId="1DA3B227" w14:textId="77777777" w:rsidR="001D3755" w:rsidRDefault="001D3755"/>
  </w:endnote>
  <w:endnote w:type="continuationSeparator" w:id="0">
    <w:p w14:paraId="1EC85460" w14:textId="77777777" w:rsidR="001D3755" w:rsidRDefault="001D3755">
      <w:r>
        <w:continuationSeparator/>
      </w:r>
    </w:p>
    <w:p w14:paraId="0659AAFD" w14:textId="77777777" w:rsidR="001D3755" w:rsidRDefault="001D3755"/>
  </w:endnote>
  <w:endnote w:type="continuationNotice" w:id="1">
    <w:p w14:paraId="05590345" w14:textId="77777777" w:rsidR="001D3755" w:rsidRDefault="001D37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C660D" w14:textId="3B353B1B" w:rsidR="00352F10" w:rsidRDefault="00352F10" w:rsidP="00EF6DDB">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1F3EC2C" w14:textId="77777777" w:rsidR="00352F10" w:rsidRDefault="00352F10" w:rsidP="005D1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3B9DC21F" w14:textId="7482BCC8" w:rsidR="00352F10" w:rsidRDefault="00352F10" w:rsidP="00A671E6">
        <w:pPr>
          <w:pStyle w:val="Footer"/>
          <w:jc w:val="center"/>
        </w:pPr>
        <w:r>
          <w:fldChar w:fldCharType="begin"/>
        </w:r>
        <w:r>
          <w:instrText xml:space="preserve"> PAGE   \* MERGEFORMAT </w:instrText>
        </w:r>
        <w:r>
          <w:fldChar w:fldCharType="separate"/>
        </w:r>
        <w:r w:rsidR="00C227B2">
          <w:rPr>
            <w:noProof/>
          </w:rPr>
          <w:t>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10C35" w14:textId="77777777" w:rsidR="001D3755" w:rsidRDefault="001D3755">
      <w:r>
        <w:separator/>
      </w:r>
    </w:p>
  </w:footnote>
  <w:footnote w:type="continuationSeparator" w:id="0">
    <w:p w14:paraId="6E57A0D3" w14:textId="77777777" w:rsidR="001D3755" w:rsidRDefault="001D3755">
      <w:r>
        <w:continuationSeparator/>
      </w:r>
    </w:p>
  </w:footnote>
  <w:footnote w:type="continuationNotice" w:id="1">
    <w:p w14:paraId="4D3C8F4F" w14:textId="77777777" w:rsidR="001D3755" w:rsidRDefault="001D3755"/>
  </w:footnote>
  <w:footnote w:id="2">
    <w:p w14:paraId="7B824E46" w14:textId="77777777" w:rsidR="00352F10" w:rsidRPr="000419DA" w:rsidRDefault="00352F10" w:rsidP="00AC1B46">
      <w:pPr>
        <w:pStyle w:val="FootnoteText"/>
        <w:rPr>
          <w:sz w:val="18"/>
          <w:szCs w:val="18"/>
        </w:rPr>
      </w:pPr>
      <w:r w:rsidRPr="000419DA">
        <w:rPr>
          <w:rStyle w:val="FootnoteReference"/>
          <w:sz w:val="18"/>
          <w:szCs w:val="18"/>
        </w:rPr>
        <w:footnoteRef/>
      </w:r>
      <w:r w:rsidRPr="000419DA">
        <w:rPr>
          <w:sz w:val="18"/>
          <w:szCs w:val="18"/>
        </w:rPr>
        <w:t xml:space="preserve"> </w:t>
      </w:r>
      <w:r w:rsidRPr="00EF4702">
        <w:rPr>
          <w:sz w:val="16"/>
          <w:szCs w:val="18"/>
        </w:rPr>
        <w:t>An electrolyte drink base is defined as a solid or liquid which when made up, makes an electrolyte drink. Electrolyte drinks and electrolyte drink bases are collectively referred to as ‘electrolyte drinks’ in this Approval Report unless stated otherwise.</w:t>
      </w:r>
    </w:p>
    <w:p w14:paraId="091503B2" w14:textId="218F87CA" w:rsidR="00352F10" w:rsidRPr="00AC1B46" w:rsidRDefault="00352F10">
      <w:pPr>
        <w:pStyle w:val="FootnoteText"/>
        <w:rPr>
          <w:lang w:val="en-AU"/>
        </w:rPr>
      </w:pPr>
    </w:p>
  </w:footnote>
  <w:footnote w:id="3">
    <w:p w14:paraId="4F2BD6E8" w14:textId="6A9427AC" w:rsidR="00352F10" w:rsidRPr="00EF4702" w:rsidRDefault="00352F10" w:rsidP="00F647AE">
      <w:pPr>
        <w:pStyle w:val="FootnoteText"/>
        <w:rPr>
          <w:sz w:val="16"/>
          <w:szCs w:val="16"/>
        </w:rPr>
      </w:pPr>
      <w:r w:rsidRPr="00EF4702">
        <w:rPr>
          <w:rStyle w:val="FootnoteReference"/>
          <w:sz w:val="16"/>
          <w:szCs w:val="16"/>
        </w:rPr>
        <w:footnoteRef/>
      </w:r>
      <w:r w:rsidRPr="00EF4702">
        <w:rPr>
          <w:sz w:val="16"/>
          <w:szCs w:val="16"/>
        </w:rPr>
        <w:t xml:space="preserve"> An electrolyte drink base is defined as a solid or liquid which when made up, makes an electrolyte drink. Electrolyte drinks and electrolyte drink bases are collectively referred to as ‘electrolyte drinks’ in this Approval Report unless stated otherwise.</w:t>
      </w:r>
    </w:p>
  </w:footnote>
  <w:footnote w:id="4">
    <w:p w14:paraId="5FE07332" w14:textId="77777777" w:rsidR="00352F10" w:rsidRPr="00EF4702" w:rsidRDefault="00352F10" w:rsidP="00F647AE">
      <w:pPr>
        <w:pStyle w:val="FootnoteText"/>
        <w:rPr>
          <w:rFonts w:cs="Arial"/>
          <w:sz w:val="16"/>
          <w:szCs w:val="16"/>
          <w:lang w:val="en-AU"/>
        </w:rPr>
      </w:pPr>
      <w:r w:rsidRPr="00EF4702">
        <w:rPr>
          <w:rStyle w:val="FootnoteReference"/>
          <w:rFonts w:cs="Arial"/>
          <w:sz w:val="16"/>
          <w:szCs w:val="16"/>
        </w:rPr>
        <w:footnoteRef/>
      </w:r>
      <w:r w:rsidRPr="00EF4702">
        <w:rPr>
          <w:rFonts w:cs="Arial"/>
          <w:sz w:val="16"/>
          <w:szCs w:val="16"/>
        </w:rPr>
        <w:t xml:space="preserve"> </w:t>
      </w:r>
      <w:hyperlink r:id="rId1" w:history="1">
        <w:r w:rsidRPr="00EF4702">
          <w:rPr>
            <w:rStyle w:val="Hyperlink"/>
            <w:rFonts w:cs="Arial"/>
            <w:color w:val="auto"/>
            <w:sz w:val="16"/>
            <w:szCs w:val="16"/>
          </w:rPr>
          <w:t>https://foodregulation.gov.au/internet/fr/publishing.nsf/Content/sport-sup-action-plan</w:t>
        </w:r>
      </w:hyperlink>
    </w:p>
  </w:footnote>
  <w:footnote w:id="5">
    <w:p w14:paraId="40B03B1A" w14:textId="77777777" w:rsidR="00352F10" w:rsidRPr="00EF4702" w:rsidRDefault="00352F10" w:rsidP="00F647AE">
      <w:pPr>
        <w:pStyle w:val="FootnoteText"/>
        <w:rPr>
          <w:rFonts w:cs="Arial"/>
          <w:sz w:val="16"/>
          <w:szCs w:val="16"/>
          <w:lang w:val="en-AU"/>
        </w:rPr>
      </w:pPr>
      <w:r w:rsidRPr="00EF4702">
        <w:rPr>
          <w:rStyle w:val="FootnoteReference"/>
          <w:rFonts w:cs="Arial"/>
          <w:sz w:val="16"/>
          <w:szCs w:val="16"/>
        </w:rPr>
        <w:footnoteRef/>
      </w:r>
      <w:r w:rsidRPr="00EF4702">
        <w:rPr>
          <w:rFonts w:cs="Arial"/>
          <w:sz w:val="16"/>
          <w:szCs w:val="16"/>
        </w:rPr>
        <w:t xml:space="preserve"> </w:t>
      </w:r>
      <w:hyperlink r:id="rId2" w:history="1">
        <w:r w:rsidRPr="00EF4702">
          <w:rPr>
            <w:rStyle w:val="Hyperlink"/>
            <w:rFonts w:cs="Arial"/>
            <w:color w:val="auto"/>
            <w:sz w:val="16"/>
            <w:szCs w:val="16"/>
          </w:rPr>
          <w:t>https://www.foodstandards.gov.au/code/proposals/Pages/P1010.aspx</w:t>
        </w:r>
      </w:hyperlink>
    </w:p>
  </w:footnote>
  <w:footnote w:id="6">
    <w:p w14:paraId="1C94822E" w14:textId="349F28B2" w:rsidR="00352F10" w:rsidRPr="00EF4702" w:rsidRDefault="00352F10" w:rsidP="00302104">
      <w:pPr>
        <w:rPr>
          <w:sz w:val="16"/>
          <w:szCs w:val="16"/>
          <w:lang w:val="en-AU"/>
        </w:rPr>
      </w:pPr>
      <w:r w:rsidRPr="00EF4702">
        <w:rPr>
          <w:rStyle w:val="FootnoteReference"/>
          <w:sz w:val="16"/>
          <w:szCs w:val="16"/>
        </w:rPr>
        <w:footnoteRef/>
      </w:r>
      <w:r w:rsidRPr="00EF4702">
        <w:rPr>
          <w:sz w:val="16"/>
          <w:szCs w:val="16"/>
        </w:rPr>
        <w:t xml:space="preserve"> Formerly referred to as the Australia and New Zealand Ministerial Forum on Food Regulation (the Forum).</w:t>
      </w:r>
    </w:p>
    <w:p w14:paraId="1E299BEB" w14:textId="41822BAB" w:rsidR="00352F10" w:rsidRPr="00965DE2" w:rsidRDefault="00352F10" w:rsidP="00F647AE">
      <w:pPr>
        <w:pStyle w:val="FootnoteText"/>
        <w:rPr>
          <w:sz w:val="16"/>
          <w:szCs w:val="16"/>
          <w:lang w:val="en-AU"/>
        </w:rPr>
      </w:pPr>
    </w:p>
  </w:footnote>
  <w:footnote w:id="7">
    <w:p w14:paraId="23F5C0AB" w14:textId="77777777" w:rsidR="00352F10" w:rsidRPr="00007161" w:rsidRDefault="00352F10" w:rsidP="00F647AE">
      <w:pPr>
        <w:pStyle w:val="FootnoteText"/>
        <w:rPr>
          <w:sz w:val="18"/>
          <w:szCs w:val="18"/>
          <w:lang w:val="en-AU"/>
        </w:rPr>
      </w:pPr>
      <w:r w:rsidRPr="00007161">
        <w:rPr>
          <w:rStyle w:val="FootnoteReference"/>
          <w:sz w:val="18"/>
          <w:szCs w:val="18"/>
        </w:rPr>
        <w:footnoteRef/>
      </w:r>
      <w:r w:rsidRPr="00007161">
        <w:rPr>
          <w:sz w:val="18"/>
          <w:szCs w:val="18"/>
        </w:rPr>
        <w:t xml:space="preserve"> </w:t>
      </w:r>
      <w:hyperlink r:id="rId3" w:history="1">
        <w:r w:rsidRPr="00EF4702">
          <w:rPr>
            <w:rStyle w:val="Hyperlink"/>
            <w:rFonts w:cs="Arial"/>
            <w:color w:val="auto"/>
            <w:sz w:val="16"/>
            <w:szCs w:val="16"/>
            <w:lang w:val="en-AU" w:bidi="ar-SA"/>
          </w:rPr>
          <w:t>http://onlinelibrary.wiley.com/doi/10.2903/sp.efsa.2015.EN-871/epdf</w:t>
        </w:r>
      </w:hyperlink>
    </w:p>
  </w:footnote>
  <w:footnote w:id="8">
    <w:p w14:paraId="25ED31DF" w14:textId="77777777" w:rsidR="00352F10" w:rsidRPr="00605D32" w:rsidRDefault="001D3755" w:rsidP="00F647AE">
      <w:pPr>
        <w:pStyle w:val="FootnoteText"/>
        <w:rPr>
          <w:lang w:val="en-AU"/>
        </w:rPr>
      </w:pPr>
      <w:hyperlink w:anchor=" http://journals.lww.com/acsm-msse/Fulltext/2007/02000/Exercise_and_Fluid_Replacement.22.aspx" w:history="1">
        <w:r w:rsidR="00352F10" w:rsidRPr="00EF4702">
          <w:rPr>
            <w:rStyle w:val="Hyperlink"/>
            <w:color w:val="auto"/>
            <w:sz w:val="18"/>
            <w:szCs w:val="18"/>
            <w:u w:val="none"/>
            <w:vertAlign w:val="superscript"/>
          </w:rPr>
          <w:footnoteRef/>
        </w:r>
        <w:r w:rsidR="00352F10" w:rsidRPr="00EF4702">
          <w:rPr>
            <w:rStyle w:val="Hyperlink"/>
            <w:color w:val="auto"/>
            <w:sz w:val="18"/>
            <w:szCs w:val="18"/>
            <w:u w:val="none"/>
            <w:vertAlign w:val="superscript"/>
          </w:rPr>
          <w:t xml:space="preserve"> </w:t>
        </w:r>
        <w:r w:rsidR="00352F10" w:rsidRPr="00EF4702">
          <w:rPr>
            <w:rStyle w:val="Hyperlink"/>
            <w:color w:val="auto"/>
            <w:sz w:val="16"/>
            <w:szCs w:val="18"/>
          </w:rPr>
          <w:t>http://journals.lww.com/acsm-msse/Fulltext/2007/02000/Exercise_and_Fluid_Replacement.22.aspx</w:t>
        </w:r>
      </w:hyperlink>
    </w:p>
  </w:footnote>
  <w:footnote w:id="9">
    <w:p w14:paraId="2FA81212" w14:textId="67996B70" w:rsidR="00352F10" w:rsidRPr="00307CBD" w:rsidRDefault="00352F10" w:rsidP="00307CBD">
      <w:pPr>
        <w:rPr>
          <w:sz w:val="20"/>
          <w:szCs w:val="20"/>
        </w:rPr>
      </w:pPr>
      <w:r>
        <w:rPr>
          <w:rStyle w:val="FootnoteReference"/>
        </w:rPr>
        <w:footnoteRef/>
      </w:r>
      <w:r>
        <w:t xml:space="preserve"> </w:t>
      </w:r>
      <w:r w:rsidRPr="00534593">
        <w:rPr>
          <w:sz w:val="16"/>
          <w:szCs w:val="20"/>
        </w:rPr>
        <w:t xml:space="preserve">The word ‘sustained’ was </w:t>
      </w:r>
      <w:r>
        <w:rPr>
          <w:sz w:val="16"/>
          <w:szCs w:val="20"/>
        </w:rPr>
        <w:t>u</w:t>
      </w:r>
      <w:r w:rsidRPr="00534593">
        <w:rPr>
          <w:sz w:val="16"/>
          <w:szCs w:val="20"/>
        </w:rPr>
        <w:t>nintentionally left out of the definition in the draft variation, however it was intended that the definition referred to ‘sustained strenuous physical activity’, as discussed in Section 2.3.2.2 of the Consultation Paper.</w:t>
      </w:r>
    </w:p>
    <w:p w14:paraId="3290AD2E" w14:textId="7309EDF7" w:rsidR="00352F10" w:rsidRPr="007947DF" w:rsidRDefault="00352F10">
      <w:pPr>
        <w:pStyle w:val="FootnoteText"/>
        <w:rPr>
          <w:lang w:val="en-AU"/>
        </w:rPr>
      </w:pPr>
    </w:p>
  </w:footnote>
  <w:footnote w:id="10">
    <w:p w14:paraId="7348CB51" w14:textId="3F07C520" w:rsidR="00352F10" w:rsidRPr="000419DA" w:rsidRDefault="00352F10">
      <w:pPr>
        <w:pStyle w:val="FootnoteText"/>
        <w:rPr>
          <w:sz w:val="18"/>
          <w:szCs w:val="18"/>
          <w:lang w:val="en-AU"/>
        </w:rPr>
      </w:pPr>
      <w:r w:rsidRPr="000419DA">
        <w:rPr>
          <w:rStyle w:val="FootnoteReference"/>
          <w:sz w:val="18"/>
          <w:szCs w:val="18"/>
        </w:rPr>
        <w:footnoteRef/>
      </w:r>
      <w:r w:rsidRPr="000419DA">
        <w:rPr>
          <w:sz w:val="18"/>
          <w:szCs w:val="18"/>
        </w:rPr>
        <w:t xml:space="preserve"> The incidental presence of an electrolyte from the use of other ingredients (when not added as an electrolyte from the list of electrolyte salts permitted to be added to electrolyte drinks) does not trigger the requirement for chloride, calcium, magnesium and potassium to be declared in the NIP. The average quantity of sodium however, must always be declared in the NIP, consistent with the requirements currently in Standard 1.2.8 for NIPs.</w:t>
      </w:r>
    </w:p>
  </w:footnote>
  <w:footnote w:id="11">
    <w:p w14:paraId="395EC67F" w14:textId="77777777" w:rsidR="00352F10" w:rsidRPr="00007161" w:rsidRDefault="00352F10" w:rsidP="001D5D1E">
      <w:pPr>
        <w:pStyle w:val="FootnoteText"/>
        <w:rPr>
          <w:sz w:val="18"/>
          <w:szCs w:val="18"/>
          <w:lang w:val="en-AU"/>
        </w:rPr>
      </w:pPr>
      <w:r w:rsidRPr="00007161">
        <w:rPr>
          <w:rStyle w:val="FootnoteReference"/>
          <w:sz w:val="18"/>
          <w:szCs w:val="18"/>
        </w:rPr>
        <w:footnoteRef/>
      </w:r>
      <w:r w:rsidRPr="00007161">
        <w:rPr>
          <w:sz w:val="18"/>
          <w:szCs w:val="18"/>
        </w:rPr>
        <w:t xml:space="preserve"> </w:t>
      </w:r>
      <w:hyperlink r:id="rId4" w:history="1">
        <w:r w:rsidRPr="00007161">
          <w:rPr>
            <w:rStyle w:val="Hyperlink"/>
            <w:color w:val="auto"/>
            <w:sz w:val="18"/>
            <w:szCs w:val="18"/>
          </w:rPr>
          <w:t>https://www.foodstandards.gov.au/industry/labelling/Pages/Outcomes-from-consideration-of-European-Union-authorised-health-claims.aspx</w:t>
        </w:r>
      </w:hyperlink>
    </w:p>
  </w:footnote>
  <w:footnote w:id="12">
    <w:p w14:paraId="2E59589B" w14:textId="6CD752EA" w:rsidR="00352F10" w:rsidRPr="000419DA" w:rsidRDefault="00352F10">
      <w:pPr>
        <w:pStyle w:val="FootnoteText"/>
        <w:rPr>
          <w:sz w:val="18"/>
          <w:szCs w:val="18"/>
          <w:lang w:val="en-AU"/>
        </w:rPr>
      </w:pPr>
      <w:r w:rsidRPr="00007161">
        <w:rPr>
          <w:rStyle w:val="FootnoteReference"/>
          <w:sz w:val="18"/>
          <w:szCs w:val="18"/>
        </w:rPr>
        <w:footnoteRef/>
      </w:r>
      <w:r w:rsidRPr="00007161">
        <w:rPr>
          <w:sz w:val="18"/>
          <w:szCs w:val="18"/>
        </w:rPr>
        <w:t xml:space="preserve"> </w:t>
      </w:r>
      <w:hyperlink r:id="rId5" w:history="1">
        <w:r w:rsidRPr="00513F04">
          <w:rPr>
            <w:rStyle w:val="Hyperlink"/>
            <w:color w:val="auto"/>
            <w:sz w:val="16"/>
            <w:szCs w:val="16"/>
          </w:rPr>
          <w:t>https://foodregulation.gov.au/internet/fr/publishing.nsf/Content/publication-Policy-Guideline-on-Nutrition-Health-and-Related-Claims</w:t>
        </w:r>
      </w:hyperlink>
    </w:p>
  </w:footnote>
  <w:footnote w:id="13">
    <w:p w14:paraId="3FA88C4A" w14:textId="77777777" w:rsidR="00352F10" w:rsidRPr="006E5939" w:rsidRDefault="00352F10" w:rsidP="000419DA">
      <w:pPr>
        <w:pStyle w:val="Footnote"/>
        <w:rPr>
          <w:lang w:val="en-AU"/>
        </w:rPr>
      </w:pPr>
      <w:r w:rsidRPr="006E5939">
        <w:rPr>
          <w:rStyle w:val="FootnoteReference"/>
        </w:rPr>
        <w:footnoteRef/>
      </w:r>
      <w:r w:rsidRPr="006E5939">
        <w:rPr>
          <w:lang w:val="en-AU"/>
        </w:rPr>
        <w:t xml:space="preserve"> </w:t>
      </w:r>
      <w:hyperlink r:id="rId6" w:history="1">
        <w:r w:rsidRPr="00513F04">
          <w:rPr>
            <w:rStyle w:val="Hyperlink"/>
            <w:rFonts w:cs="Arial"/>
            <w:color w:val="auto"/>
            <w:sz w:val="16"/>
          </w:rPr>
          <w:t>https://efsa.onlinelibrary.wiley.com/doi/pdf/10.2903/j.efsa.2011.2211</w:t>
        </w:r>
      </w:hyperlink>
      <w:r w:rsidRPr="00513F04">
        <w:rPr>
          <w:rFonts w:cs="Arial"/>
          <w:sz w:val="16"/>
        </w:rPr>
        <w:t>.</w:t>
      </w:r>
    </w:p>
  </w:footnote>
  <w:footnote w:id="14">
    <w:p w14:paraId="401AD09E" w14:textId="77777777" w:rsidR="00352F10" w:rsidRPr="00513F04" w:rsidRDefault="00352F10" w:rsidP="000419DA">
      <w:pPr>
        <w:pStyle w:val="doc-ti"/>
        <w:shd w:val="clear" w:color="auto" w:fill="FFFFFF"/>
        <w:spacing w:before="0" w:after="0"/>
        <w:jc w:val="left"/>
        <w:rPr>
          <w:rFonts w:ascii="Arial" w:hAnsi="Arial" w:cs="Arial"/>
          <w:sz w:val="16"/>
          <w:szCs w:val="16"/>
          <w:lang w:val="en-AU"/>
        </w:rPr>
      </w:pPr>
      <w:r w:rsidRPr="00513F04">
        <w:rPr>
          <w:rStyle w:val="FootnoteReference"/>
          <w:rFonts w:ascii="Arial" w:hAnsi="Arial" w:cs="Arial"/>
          <w:b w:val="0"/>
          <w:sz w:val="16"/>
          <w:szCs w:val="16"/>
        </w:rPr>
        <w:footnoteRef/>
      </w:r>
      <w:r w:rsidRPr="00513F04">
        <w:rPr>
          <w:rFonts w:ascii="Arial" w:hAnsi="Arial" w:cs="Arial"/>
          <w:b w:val="0"/>
          <w:sz w:val="16"/>
          <w:szCs w:val="16"/>
        </w:rPr>
        <w:t xml:space="preserve"> COMMISSION REGULATION (EU) No 432/2012 ,16 May 2012 establishing a list of permitted health claims made on foods, other than those referring to the reduction of disease risk and to children’s development and health. Annex, List of Permitted Health Claims</w:t>
      </w:r>
      <w:r w:rsidRPr="00513F04">
        <w:rPr>
          <w:rFonts w:ascii="Arial" w:hAnsi="Arial" w:cs="Arial"/>
          <w:b w:val="0"/>
          <w:sz w:val="16"/>
          <w:szCs w:val="16"/>
        </w:rPr>
        <w:br/>
      </w:r>
      <w:hyperlink r:id="rId7" w:anchor="d1e32-4-1" w:history="1">
        <w:r w:rsidRPr="00513F04">
          <w:rPr>
            <w:rStyle w:val="Hyperlink"/>
            <w:rFonts w:ascii="Arial" w:hAnsi="Arial" w:cs="Arial"/>
            <w:b w:val="0"/>
            <w:color w:val="auto"/>
            <w:sz w:val="16"/>
            <w:szCs w:val="16"/>
          </w:rPr>
          <w:t>https://eur-lex.europa.eu/legal-content/EN/TXT/HTML/?uri=CELEX:32012R0432&amp;from=EN#d1e32-4-1</w:t>
        </w:r>
      </w:hyperlink>
    </w:p>
  </w:footnote>
  <w:footnote w:id="15">
    <w:p w14:paraId="5FC22027" w14:textId="5B881225" w:rsidR="00352F10" w:rsidRPr="0056363A" w:rsidRDefault="00352F10" w:rsidP="00A87852">
      <w:pPr>
        <w:pStyle w:val="FSBullet"/>
        <w:ind w:left="0" w:firstLine="0"/>
        <w:rPr>
          <w:sz w:val="20"/>
          <w:szCs w:val="20"/>
          <w:lang w:val="en-AU"/>
        </w:rPr>
      </w:pPr>
      <w:r w:rsidRPr="00513F04">
        <w:rPr>
          <w:rStyle w:val="FootnoteReference"/>
          <w:sz w:val="16"/>
          <w:szCs w:val="16"/>
        </w:rPr>
        <w:footnoteRef/>
      </w:r>
      <w:r w:rsidRPr="00513F04">
        <w:rPr>
          <w:sz w:val="16"/>
          <w:szCs w:val="16"/>
        </w:rPr>
        <w:t xml:space="preserve"> the consumption of carbohydrate solutions and the improvement of physical performance during high-intensity and long-lasting physical exercise for the target population of healthy trained adults performing high-intensity (at least at 65% of the VO2max) and long-lasting (at least 60 min) physical exercise.</w:t>
      </w:r>
      <w:hyperlink r:id="rId8" w:history="1">
        <w:r w:rsidRPr="00513F04">
          <w:rPr>
            <w:rStyle w:val="Hyperlink"/>
            <w:color w:val="auto"/>
            <w:sz w:val="16"/>
            <w:szCs w:val="16"/>
          </w:rPr>
          <w:t>http://www.puntofocal.gov.ar/notific_otros_miembros/eu723_t.pdf</w:t>
        </w:r>
      </w:hyperlink>
      <w:r w:rsidRPr="00007161">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38B24" w14:textId="70899867" w:rsidR="00352F10" w:rsidRDefault="00352F10">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44168"/>
    <w:multiLevelType w:val="hybridMultilevel"/>
    <w:tmpl w:val="1F7AD420"/>
    <w:lvl w:ilvl="0" w:tplc="0C4AB4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23561C"/>
    <w:multiLevelType w:val="hybridMultilevel"/>
    <w:tmpl w:val="527E0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F56F7"/>
    <w:multiLevelType w:val="hybridMultilevel"/>
    <w:tmpl w:val="32A2E138"/>
    <w:lvl w:ilvl="0" w:tplc="E10E56F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7D6E41"/>
    <w:multiLevelType w:val="hybridMultilevel"/>
    <w:tmpl w:val="8D62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BA5E21"/>
    <w:multiLevelType w:val="hybridMultilevel"/>
    <w:tmpl w:val="D3D05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2C660CF"/>
    <w:multiLevelType w:val="hybridMultilevel"/>
    <w:tmpl w:val="85F477D8"/>
    <w:lvl w:ilvl="0" w:tplc="E10E56F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8B4D0C"/>
    <w:multiLevelType w:val="hybridMultilevel"/>
    <w:tmpl w:val="300ED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F49C7"/>
    <w:multiLevelType w:val="hybridMultilevel"/>
    <w:tmpl w:val="2690C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D4A58"/>
    <w:multiLevelType w:val="hybridMultilevel"/>
    <w:tmpl w:val="AD2CE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C6274"/>
    <w:multiLevelType w:val="hybridMultilevel"/>
    <w:tmpl w:val="934A2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0B4BC8"/>
    <w:multiLevelType w:val="hybridMultilevel"/>
    <w:tmpl w:val="6100B1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A86E14FC">
      <w:numFmt w:val="bullet"/>
      <w:lvlText w:val="-"/>
      <w:lvlJc w:val="left"/>
      <w:pPr>
        <w:ind w:left="1800" w:hanging="360"/>
      </w:pPr>
      <w:rPr>
        <w:rFonts w:ascii="Arial" w:eastAsiaTheme="minorHAns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07C4987"/>
    <w:multiLevelType w:val="hybridMultilevel"/>
    <w:tmpl w:val="E5244AC6"/>
    <w:lvl w:ilvl="0" w:tplc="E10E56F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565EA9"/>
    <w:multiLevelType w:val="hybridMultilevel"/>
    <w:tmpl w:val="826CEB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AD0D4E"/>
    <w:multiLevelType w:val="hybridMultilevel"/>
    <w:tmpl w:val="1BD66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7913D5"/>
    <w:multiLevelType w:val="hybridMultilevel"/>
    <w:tmpl w:val="E97494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0775784"/>
    <w:multiLevelType w:val="hybridMultilevel"/>
    <w:tmpl w:val="74F20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0552C8"/>
    <w:multiLevelType w:val="hybridMultilevel"/>
    <w:tmpl w:val="F656C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FE68D0"/>
    <w:multiLevelType w:val="hybridMultilevel"/>
    <w:tmpl w:val="7BC259A6"/>
    <w:lvl w:ilvl="0" w:tplc="08090003">
      <w:start w:val="1"/>
      <w:numFmt w:val="bullet"/>
      <w:lvlText w:val="o"/>
      <w:lvlJc w:val="left"/>
      <w:pPr>
        <w:ind w:left="533" w:hanging="360"/>
      </w:pPr>
      <w:rPr>
        <w:rFonts w:ascii="Courier New" w:hAnsi="Courier New" w:cs="Courier New" w:hint="default"/>
      </w:rPr>
    </w:lvl>
    <w:lvl w:ilvl="1" w:tplc="08090003">
      <w:start w:val="1"/>
      <w:numFmt w:val="bullet"/>
      <w:lvlText w:val="o"/>
      <w:lvlJc w:val="left"/>
      <w:pPr>
        <w:ind w:left="1253" w:hanging="360"/>
      </w:pPr>
      <w:rPr>
        <w:rFonts w:ascii="Courier New" w:hAnsi="Courier New" w:cs="Courier New" w:hint="default"/>
      </w:rPr>
    </w:lvl>
    <w:lvl w:ilvl="2" w:tplc="A86E14FC">
      <w:numFmt w:val="bullet"/>
      <w:lvlText w:val="-"/>
      <w:lvlJc w:val="left"/>
      <w:pPr>
        <w:ind w:left="1973" w:hanging="360"/>
      </w:pPr>
      <w:rPr>
        <w:rFonts w:ascii="Arial" w:eastAsiaTheme="minorHAnsi" w:hAnsi="Arial" w:cs="Arial" w:hint="default"/>
      </w:rPr>
    </w:lvl>
    <w:lvl w:ilvl="3" w:tplc="08090001" w:tentative="1">
      <w:start w:val="1"/>
      <w:numFmt w:val="bullet"/>
      <w:lvlText w:val=""/>
      <w:lvlJc w:val="left"/>
      <w:pPr>
        <w:ind w:left="2693" w:hanging="360"/>
      </w:pPr>
      <w:rPr>
        <w:rFonts w:ascii="Symbol" w:hAnsi="Symbol" w:hint="default"/>
      </w:rPr>
    </w:lvl>
    <w:lvl w:ilvl="4" w:tplc="08090003" w:tentative="1">
      <w:start w:val="1"/>
      <w:numFmt w:val="bullet"/>
      <w:lvlText w:val="o"/>
      <w:lvlJc w:val="left"/>
      <w:pPr>
        <w:ind w:left="3413" w:hanging="360"/>
      </w:pPr>
      <w:rPr>
        <w:rFonts w:ascii="Courier New" w:hAnsi="Courier New" w:cs="Courier New" w:hint="default"/>
      </w:rPr>
    </w:lvl>
    <w:lvl w:ilvl="5" w:tplc="08090005" w:tentative="1">
      <w:start w:val="1"/>
      <w:numFmt w:val="bullet"/>
      <w:lvlText w:val=""/>
      <w:lvlJc w:val="left"/>
      <w:pPr>
        <w:ind w:left="4133" w:hanging="360"/>
      </w:pPr>
      <w:rPr>
        <w:rFonts w:ascii="Wingdings" w:hAnsi="Wingdings" w:hint="default"/>
      </w:rPr>
    </w:lvl>
    <w:lvl w:ilvl="6" w:tplc="08090001" w:tentative="1">
      <w:start w:val="1"/>
      <w:numFmt w:val="bullet"/>
      <w:lvlText w:val=""/>
      <w:lvlJc w:val="left"/>
      <w:pPr>
        <w:ind w:left="4853" w:hanging="360"/>
      </w:pPr>
      <w:rPr>
        <w:rFonts w:ascii="Symbol" w:hAnsi="Symbol" w:hint="default"/>
      </w:rPr>
    </w:lvl>
    <w:lvl w:ilvl="7" w:tplc="08090003" w:tentative="1">
      <w:start w:val="1"/>
      <w:numFmt w:val="bullet"/>
      <w:lvlText w:val="o"/>
      <w:lvlJc w:val="left"/>
      <w:pPr>
        <w:ind w:left="5573" w:hanging="360"/>
      </w:pPr>
      <w:rPr>
        <w:rFonts w:ascii="Courier New" w:hAnsi="Courier New" w:cs="Courier New" w:hint="default"/>
      </w:rPr>
    </w:lvl>
    <w:lvl w:ilvl="8" w:tplc="08090005" w:tentative="1">
      <w:start w:val="1"/>
      <w:numFmt w:val="bullet"/>
      <w:lvlText w:val=""/>
      <w:lvlJc w:val="left"/>
      <w:pPr>
        <w:ind w:left="6293" w:hanging="360"/>
      </w:pPr>
      <w:rPr>
        <w:rFonts w:ascii="Wingdings" w:hAnsi="Wingdings" w:hint="default"/>
      </w:rPr>
    </w:lvl>
  </w:abstractNum>
  <w:abstractNum w:abstractNumId="25" w15:restartNumberingAfterBreak="0">
    <w:nsid w:val="538F4D84"/>
    <w:multiLevelType w:val="hybridMultilevel"/>
    <w:tmpl w:val="FCCA9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3D13FCE"/>
    <w:multiLevelType w:val="hybridMultilevel"/>
    <w:tmpl w:val="F2C06F10"/>
    <w:lvl w:ilvl="0" w:tplc="E10E56F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1084D41"/>
    <w:multiLevelType w:val="hybridMultilevel"/>
    <w:tmpl w:val="D8B07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1094F75"/>
    <w:multiLevelType w:val="hybridMultilevel"/>
    <w:tmpl w:val="0D667310"/>
    <w:lvl w:ilvl="0" w:tplc="08090001">
      <w:start w:val="1"/>
      <w:numFmt w:val="bullet"/>
      <w:lvlText w:val=""/>
      <w:lvlJc w:val="left"/>
      <w:pPr>
        <w:ind w:left="-708" w:hanging="360"/>
      </w:pPr>
      <w:rPr>
        <w:rFonts w:ascii="Symbol" w:hAnsi="Symbol" w:hint="default"/>
      </w:rPr>
    </w:lvl>
    <w:lvl w:ilvl="1" w:tplc="08090003">
      <w:start w:val="1"/>
      <w:numFmt w:val="bullet"/>
      <w:lvlText w:val="o"/>
      <w:lvlJc w:val="left"/>
      <w:pPr>
        <w:ind w:left="12" w:hanging="360"/>
      </w:pPr>
      <w:rPr>
        <w:rFonts w:ascii="Courier New" w:hAnsi="Courier New" w:cs="Courier New" w:hint="default"/>
      </w:rPr>
    </w:lvl>
    <w:lvl w:ilvl="2" w:tplc="08090005">
      <w:start w:val="1"/>
      <w:numFmt w:val="bullet"/>
      <w:lvlText w:val=""/>
      <w:lvlJc w:val="left"/>
      <w:pPr>
        <w:ind w:left="732" w:hanging="360"/>
      </w:pPr>
      <w:rPr>
        <w:rFonts w:ascii="Wingdings" w:hAnsi="Wingdings" w:hint="default"/>
      </w:rPr>
    </w:lvl>
    <w:lvl w:ilvl="3" w:tplc="08090001">
      <w:start w:val="1"/>
      <w:numFmt w:val="bullet"/>
      <w:lvlText w:val=""/>
      <w:lvlJc w:val="left"/>
      <w:pPr>
        <w:ind w:left="1452" w:hanging="360"/>
      </w:pPr>
      <w:rPr>
        <w:rFonts w:ascii="Symbol" w:hAnsi="Symbol" w:hint="default"/>
      </w:rPr>
    </w:lvl>
    <w:lvl w:ilvl="4" w:tplc="08090003">
      <w:start w:val="1"/>
      <w:numFmt w:val="bullet"/>
      <w:lvlText w:val="o"/>
      <w:lvlJc w:val="left"/>
      <w:pPr>
        <w:ind w:left="2172" w:hanging="360"/>
      </w:pPr>
      <w:rPr>
        <w:rFonts w:ascii="Courier New" w:hAnsi="Courier New" w:cs="Courier New" w:hint="default"/>
      </w:rPr>
    </w:lvl>
    <w:lvl w:ilvl="5" w:tplc="08090005">
      <w:start w:val="1"/>
      <w:numFmt w:val="bullet"/>
      <w:lvlText w:val=""/>
      <w:lvlJc w:val="left"/>
      <w:pPr>
        <w:ind w:left="2892" w:hanging="360"/>
      </w:pPr>
      <w:rPr>
        <w:rFonts w:ascii="Wingdings" w:hAnsi="Wingdings" w:hint="default"/>
      </w:rPr>
    </w:lvl>
    <w:lvl w:ilvl="6" w:tplc="08090001">
      <w:start w:val="1"/>
      <w:numFmt w:val="bullet"/>
      <w:lvlText w:val=""/>
      <w:lvlJc w:val="left"/>
      <w:pPr>
        <w:ind w:left="3612" w:hanging="360"/>
      </w:pPr>
      <w:rPr>
        <w:rFonts w:ascii="Symbol" w:hAnsi="Symbol" w:hint="default"/>
      </w:rPr>
    </w:lvl>
    <w:lvl w:ilvl="7" w:tplc="08090003">
      <w:start w:val="1"/>
      <w:numFmt w:val="bullet"/>
      <w:lvlText w:val="o"/>
      <w:lvlJc w:val="left"/>
      <w:pPr>
        <w:ind w:left="4332" w:hanging="360"/>
      </w:pPr>
      <w:rPr>
        <w:rFonts w:ascii="Courier New" w:hAnsi="Courier New" w:cs="Courier New" w:hint="default"/>
      </w:rPr>
    </w:lvl>
    <w:lvl w:ilvl="8" w:tplc="08090005">
      <w:start w:val="1"/>
      <w:numFmt w:val="bullet"/>
      <w:lvlText w:val=""/>
      <w:lvlJc w:val="left"/>
      <w:pPr>
        <w:ind w:left="5052" w:hanging="360"/>
      </w:pPr>
      <w:rPr>
        <w:rFonts w:ascii="Wingdings" w:hAnsi="Wingdings" w:hint="default"/>
      </w:rPr>
    </w:lvl>
  </w:abstractNum>
  <w:abstractNum w:abstractNumId="29" w15:restartNumberingAfterBreak="0">
    <w:nsid w:val="64CE0E05"/>
    <w:multiLevelType w:val="hybridMultilevel"/>
    <w:tmpl w:val="F1D4FA02"/>
    <w:lvl w:ilvl="0" w:tplc="E10E56F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69E75FF"/>
    <w:multiLevelType w:val="hybridMultilevel"/>
    <w:tmpl w:val="6EAE9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ED7428"/>
    <w:multiLevelType w:val="hybridMultilevel"/>
    <w:tmpl w:val="0A52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9121C2"/>
    <w:multiLevelType w:val="hybridMultilevel"/>
    <w:tmpl w:val="95FC8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7"/>
  </w:num>
  <w:num w:numId="4">
    <w:abstractNumId w:val="15"/>
  </w:num>
  <w:num w:numId="5">
    <w:abstractNumId w:val="23"/>
  </w:num>
  <w:num w:numId="6">
    <w:abstractNumId w:val="0"/>
  </w:num>
  <w:num w:numId="7">
    <w:abstractNumId w:val="30"/>
  </w:num>
  <w:num w:numId="8">
    <w:abstractNumId w:val="32"/>
  </w:num>
  <w:num w:numId="9">
    <w:abstractNumId w:val="14"/>
  </w:num>
  <w:num w:numId="10">
    <w:abstractNumId w:val="24"/>
  </w:num>
  <w:num w:numId="11">
    <w:abstractNumId w:val="13"/>
  </w:num>
  <w:num w:numId="12">
    <w:abstractNumId w:val="21"/>
  </w:num>
  <w:num w:numId="13">
    <w:abstractNumId w:val="7"/>
  </w:num>
  <w:num w:numId="14">
    <w:abstractNumId w:val="20"/>
  </w:num>
  <w:num w:numId="15">
    <w:abstractNumId w:val="7"/>
  </w:num>
  <w:num w:numId="16">
    <w:abstractNumId w:val="7"/>
  </w:num>
  <w:num w:numId="17">
    <w:abstractNumId w:val="7"/>
  </w:num>
  <w:num w:numId="18">
    <w:abstractNumId w:val="7"/>
  </w:num>
  <w:num w:numId="19">
    <w:abstractNumId w:val="25"/>
  </w:num>
  <w:num w:numId="20">
    <w:abstractNumId w:val="28"/>
  </w:num>
  <w:num w:numId="21">
    <w:abstractNumId w:val="14"/>
  </w:num>
  <w:num w:numId="22">
    <w:abstractNumId w:val="24"/>
  </w:num>
  <w:num w:numId="23">
    <w:abstractNumId w:val="6"/>
  </w:num>
  <w:num w:numId="24">
    <w:abstractNumId w:val="22"/>
  </w:num>
  <w:num w:numId="25">
    <w:abstractNumId w:val="19"/>
  </w:num>
  <w:num w:numId="26">
    <w:abstractNumId w:val="10"/>
  </w:num>
  <w:num w:numId="27">
    <w:abstractNumId w:val="17"/>
  </w:num>
  <w:num w:numId="28">
    <w:abstractNumId w:val="2"/>
  </w:num>
  <w:num w:numId="29">
    <w:abstractNumId w:val="13"/>
  </w:num>
  <w:num w:numId="30">
    <w:abstractNumId w:val="13"/>
  </w:num>
  <w:num w:numId="31">
    <w:abstractNumId w:val="13"/>
  </w:num>
  <w:num w:numId="32">
    <w:abstractNumId w:val="27"/>
  </w:num>
  <w:num w:numId="33">
    <w:abstractNumId w:val="12"/>
  </w:num>
  <w:num w:numId="34">
    <w:abstractNumId w:val="18"/>
  </w:num>
  <w:num w:numId="35">
    <w:abstractNumId w:val="11"/>
  </w:num>
  <w:num w:numId="36">
    <w:abstractNumId w:val="4"/>
  </w:num>
  <w:num w:numId="37">
    <w:abstractNumId w:val="31"/>
  </w:num>
  <w:num w:numId="38">
    <w:abstractNumId w:val="8"/>
  </w:num>
  <w:num w:numId="39">
    <w:abstractNumId w:val="9"/>
  </w:num>
  <w:num w:numId="40">
    <w:abstractNumId w:val="5"/>
  </w:num>
  <w:num w:numId="41">
    <w:abstractNumId w:val="26"/>
  </w:num>
  <w:num w:numId="42">
    <w:abstractNumId w:val="16"/>
  </w:num>
  <w:num w:numId="43">
    <w:abstractNumId w:val="3"/>
  </w:num>
  <w:num w:numId="44">
    <w:abstractNumId w:val="29"/>
  </w:num>
  <w:num w:numId="4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CA"/>
    <w:rsid w:val="0000247B"/>
    <w:rsid w:val="000026A7"/>
    <w:rsid w:val="0000469B"/>
    <w:rsid w:val="00005C3E"/>
    <w:rsid w:val="00006ADA"/>
    <w:rsid w:val="00006CA8"/>
    <w:rsid w:val="00007161"/>
    <w:rsid w:val="00007345"/>
    <w:rsid w:val="000107D7"/>
    <w:rsid w:val="00010E79"/>
    <w:rsid w:val="00011187"/>
    <w:rsid w:val="00012000"/>
    <w:rsid w:val="0001229B"/>
    <w:rsid w:val="00012394"/>
    <w:rsid w:val="0001317F"/>
    <w:rsid w:val="00013924"/>
    <w:rsid w:val="00014378"/>
    <w:rsid w:val="00014E34"/>
    <w:rsid w:val="000159C4"/>
    <w:rsid w:val="000204FC"/>
    <w:rsid w:val="00020760"/>
    <w:rsid w:val="00020D8C"/>
    <w:rsid w:val="00022EC0"/>
    <w:rsid w:val="0002449B"/>
    <w:rsid w:val="00025C05"/>
    <w:rsid w:val="0002640D"/>
    <w:rsid w:val="00027DA9"/>
    <w:rsid w:val="00030B4F"/>
    <w:rsid w:val="00032EE7"/>
    <w:rsid w:val="00033143"/>
    <w:rsid w:val="000332AE"/>
    <w:rsid w:val="00033545"/>
    <w:rsid w:val="000347AD"/>
    <w:rsid w:val="00035FF3"/>
    <w:rsid w:val="000418F0"/>
    <w:rsid w:val="000419DA"/>
    <w:rsid w:val="00050D64"/>
    <w:rsid w:val="00051021"/>
    <w:rsid w:val="00051075"/>
    <w:rsid w:val="000524F0"/>
    <w:rsid w:val="00052D54"/>
    <w:rsid w:val="00054388"/>
    <w:rsid w:val="00054B46"/>
    <w:rsid w:val="000553EF"/>
    <w:rsid w:val="000576EB"/>
    <w:rsid w:val="000577DE"/>
    <w:rsid w:val="00062001"/>
    <w:rsid w:val="00062181"/>
    <w:rsid w:val="000643F2"/>
    <w:rsid w:val="0006473E"/>
    <w:rsid w:val="00064B2D"/>
    <w:rsid w:val="00065444"/>
    <w:rsid w:val="00065F1F"/>
    <w:rsid w:val="0006628C"/>
    <w:rsid w:val="000707B3"/>
    <w:rsid w:val="000712F5"/>
    <w:rsid w:val="00073396"/>
    <w:rsid w:val="000735DD"/>
    <w:rsid w:val="00073DD0"/>
    <w:rsid w:val="00076D33"/>
    <w:rsid w:val="00076D3B"/>
    <w:rsid w:val="00077859"/>
    <w:rsid w:val="00077AEA"/>
    <w:rsid w:val="00081B0A"/>
    <w:rsid w:val="00086A38"/>
    <w:rsid w:val="000873B3"/>
    <w:rsid w:val="00087973"/>
    <w:rsid w:val="00090ACD"/>
    <w:rsid w:val="00092FA0"/>
    <w:rsid w:val="00094C88"/>
    <w:rsid w:val="000A0E8D"/>
    <w:rsid w:val="000A27C9"/>
    <w:rsid w:val="000A347D"/>
    <w:rsid w:val="000A3D8B"/>
    <w:rsid w:val="000A5427"/>
    <w:rsid w:val="000A5496"/>
    <w:rsid w:val="000A6AE1"/>
    <w:rsid w:val="000A73E8"/>
    <w:rsid w:val="000B05BB"/>
    <w:rsid w:val="000B2561"/>
    <w:rsid w:val="000B427A"/>
    <w:rsid w:val="000B6658"/>
    <w:rsid w:val="000B6AF2"/>
    <w:rsid w:val="000C0A9C"/>
    <w:rsid w:val="000C389A"/>
    <w:rsid w:val="000C4E31"/>
    <w:rsid w:val="000C7FE2"/>
    <w:rsid w:val="000D02A2"/>
    <w:rsid w:val="000D0FF3"/>
    <w:rsid w:val="000D5A80"/>
    <w:rsid w:val="000D6FD4"/>
    <w:rsid w:val="000D7B1C"/>
    <w:rsid w:val="000E0AE4"/>
    <w:rsid w:val="000E10EF"/>
    <w:rsid w:val="000E1EA4"/>
    <w:rsid w:val="000E3C37"/>
    <w:rsid w:val="000E3DBC"/>
    <w:rsid w:val="000E662F"/>
    <w:rsid w:val="000E6CCB"/>
    <w:rsid w:val="000E7ED3"/>
    <w:rsid w:val="000F181D"/>
    <w:rsid w:val="000F1A95"/>
    <w:rsid w:val="000F2748"/>
    <w:rsid w:val="000F28A5"/>
    <w:rsid w:val="000F30E8"/>
    <w:rsid w:val="000F3B71"/>
    <w:rsid w:val="000F3CFE"/>
    <w:rsid w:val="000F4ABC"/>
    <w:rsid w:val="000F6229"/>
    <w:rsid w:val="000F6568"/>
    <w:rsid w:val="00102819"/>
    <w:rsid w:val="00104544"/>
    <w:rsid w:val="0010778D"/>
    <w:rsid w:val="00107B17"/>
    <w:rsid w:val="00110ABF"/>
    <w:rsid w:val="001122EC"/>
    <w:rsid w:val="00113707"/>
    <w:rsid w:val="00116AC1"/>
    <w:rsid w:val="001172E9"/>
    <w:rsid w:val="00120620"/>
    <w:rsid w:val="00120F3B"/>
    <w:rsid w:val="00121262"/>
    <w:rsid w:val="00121F6B"/>
    <w:rsid w:val="001223AA"/>
    <w:rsid w:val="00123540"/>
    <w:rsid w:val="00123593"/>
    <w:rsid w:val="0012388D"/>
    <w:rsid w:val="00125D40"/>
    <w:rsid w:val="00130087"/>
    <w:rsid w:val="00132464"/>
    <w:rsid w:val="00136385"/>
    <w:rsid w:val="00136B57"/>
    <w:rsid w:val="00140640"/>
    <w:rsid w:val="00142245"/>
    <w:rsid w:val="00143407"/>
    <w:rsid w:val="001452C5"/>
    <w:rsid w:val="001505E9"/>
    <w:rsid w:val="00150B54"/>
    <w:rsid w:val="0015187A"/>
    <w:rsid w:val="001535D4"/>
    <w:rsid w:val="00155BCB"/>
    <w:rsid w:val="00156AC7"/>
    <w:rsid w:val="001574FF"/>
    <w:rsid w:val="001576FF"/>
    <w:rsid w:val="00163AA9"/>
    <w:rsid w:val="00164074"/>
    <w:rsid w:val="001652B4"/>
    <w:rsid w:val="0017113C"/>
    <w:rsid w:val="001717D2"/>
    <w:rsid w:val="00171D22"/>
    <w:rsid w:val="00171F9E"/>
    <w:rsid w:val="00182945"/>
    <w:rsid w:val="00182C4C"/>
    <w:rsid w:val="00182D85"/>
    <w:rsid w:val="001845FD"/>
    <w:rsid w:val="00185B94"/>
    <w:rsid w:val="00185BDD"/>
    <w:rsid w:val="00186555"/>
    <w:rsid w:val="001878C5"/>
    <w:rsid w:val="00190EDB"/>
    <w:rsid w:val="0019293B"/>
    <w:rsid w:val="00192ACC"/>
    <w:rsid w:val="0019399D"/>
    <w:rsid w:val="001944A2"/>
    <w:rsid w:val="00194B64"/>
    <w:rsid w:val="00197BD7"/>
    <w:rsid w:val="00197D8D"/>
    <w:rsid w:val="001A1A75"/>
    <w:rsid w:val="001A2E23"/>
    <w:rsid w:val="001A6C9E"/>
    <w:rsid w:val="001A7E9A"/>
    <w:rsid w:val="001C13F4"/>
    <w:rsid w:val="001C27A3"/>
    <w:rsid w:val="001C2DA1"/>
    <w:rsid w:val="001C2F24"/>
    <w:rsid w:val="001C4098"/>
    <w:rsid w:val="001C6492"/>
    <w:rsid w:val="001C73A7"/>
    <w:rsid w:val="001C7B00"/>
    <w:rsid w:val="001D0768"/>
    <w:rsid w:val="001D14D6"/>
    <w:rsid w:val="001D21EE"/>
    <w:rsid w:val="001D3755"/>
    <w:rsid w:val="001D43F6"/>
    <w:rsid w:val="001D592C"/>
    <w:rsid w:val="001D5D1E"/>
    <w:rsid w:val="001E0189"/>
    <w:rsid w:val="001E09FA"/>
    <w:rsid w:val="001E27FC"/>
    <w:rsid w:val="001E41F8"/>
    <w:rsid w:val="001E768D"/>
    <w:rsid w:val="001F161F"/>
    <w:rsid w:val="001F33EB"/>
    <w:rsid w:val="001F38A4"/>
    <w:rsid w:val="001F62AE"/>
    <w:rsid w:val="001F6D23"/>
    <w:rsid w:val="001F7C7D"/>
    <w:rsid w:val="001F7F63"/>
    <w:rsid w:val="00201B23"/>
    <w:rsid w:val="00202A6F"/>
    <w:rsid w:val="00202D98"/>
    <w:rsid w:val="002037BD"/>
    <w:rsid w:val="00203A63"/>
    <w:rsid w:val="00211657"/>
    <w:rsid w:val="00211C7E"/>
    <w:rsid w:val="002129A9"/>
    <w:rsid w:val="00212D23"/>
    <w:rsid w:val="00214ECD"/>
    <w:rsid w:val="00221389"/>
    <w:rsid w:val="0022197C"/>
    <w:rsid w:val="00221D07"/>
    <w:rsid w:val="002226DA"/>
    <w:rsid w:val="00222B86"/>
    <w:rsid w:val="00223764"/>
    <w:rsid w:val="00224496"/>
    <w:rsid w:val="00224E3B"/>
    <w:rsid w:val="00225146"/>
    <w:rsid w:val="00227E4A"/>
    <w:rsid w:val="0023042A"/>
    <w:rsid w:val="00230DD5"/>
    <w:rsid w:val="002313A5"/>
    <w:rsid w:val="002322DE"/>
    <w:rsid w:val="0024037E"/>
    <w:rsid w:val="00240D1F"/>
    <w:rsid w:val="002421C1"/>
    <w:rsid w:val="00242992"/>
    <w:rsid w:val="00244165"/>
    <w:rsid w:val="002443BB"/>
    <w:rsid w:val="00247ACB"/>
    <w:rsid w:val="00250197"/>
    <w:rsid w:val="00252088"/>
    <w:rsid w:val="00252323"/>
    <w:rsid w:val="002537E1"/>
    <w:rsid w:val="002541F2"/>
    <w:rsid w:val="00254971"/>
    <w:rsid w:val="00261135"/>
    <w:rsid w:val="0026387E"/>
    <w:rsid w:val="00265135"/>
    <w:rsid w:val="00265BA2"/>
    <w:rsid w:val="00267603"/>
    <w:rsid w:val="002703CA"/>
    <w:rsid w:val="002758A0"/>
    <w:rsid w:val="00283785"/>
    <w:rsid w:val="002869AA"/>
    <w:rsid w:val="0029204E"/>
    <w:rsid w:val="00292837"/>
    <w:rsid w:val="0029285F"/>
    <w:rsid w:val="00292890"/>
    <w:rsid w:val="00292B9B"/>
    <w:rsid w:val="00292BEA"/>
    <w:rsid w:val="00293FDB"/>
    <w:rsid w:val="00294107"/>
    <w:rsid w:val="002A0194"/>
    <w:rsid w:val="002A1F87"/>
    <w:rsid w:val="002A2DB5"/>
    <w:rsid w:val="002A316D"/>
    <w:rsid w:val="002A371E"/>
    <w:rsid w:val="002A430E"/>
    <w:rsid w:val="002A46DA"/>
    <w:rsid w:val="002A5F8B"/>
    <w:rsid w:val="002A6638"/>
    <w:rsid w:val="002A7F6C"/>
    <w:rsid w:val="002B0071"/>
    <w:rsid w:val="002B1446"/>
    <w:rsid w:val="002B248C"/>
    <w:rsid w:val="002B258B"/>
    <w:rsid w:val="002B3B1B"/>
    <w:rsid w:val="002B4D0A"/>
    <w:rsid w:val="002B7876"/>
    <w:rsid w:val="002C1A3B"/>
    <w:rsid w:val="002C3372"/>
    <w:rsid w:val="002C3830"/>
    <w:rsid w:val="002C3A77"/>
    <w:rsid w:val="002C3B6D"/>
    <w:rsid w:val="002C4FB9"/>
    <w:rsid w:val="002C610B"/>
    <w:rsid w:val="002C691B"/>
    <w:rsid w:val="002C7E7E"/>
    <w:rsid w:val="002D6F2A"/>
    <w:rsid w:val="002D7476"/>
    <w:rsid w:val="002E0348"/>
    <w:rsid w:val="002E16D5"/>
    <w:rsid w:val="002E1820"/>
    <w:rsid w:val="002E1BC3"/>
    <w:rsid w:val="002E20E5"/>
    <w:rsid w:val="002E32E1"/>
    <w:rsid w:val="002E39CF"/>
    <w:rsid w:val="002E3AB7"/>
    <w:rsid w:val="002E4F10"/>
    <w:rsid w:val="002E5CC0"/>
    <w:rsid w:val="002E6743"/>
    <w:rsid w:val="002E691F"/>
    <w:rsid w:val="002E7D69"/>
    <w:rsid w:val="002F1B66"/>
    <w:rsid w:val="002F32B1"/>
    <w:rsid w:val="002F3387"/>
    <w:rsid w:val="002F35EA"/>
    <w:rsid w:val="002F4411"/>
    <w:rsid w:val="002F4F77"/>
    <w:rsid w:val="002F6488"/>
    <w:rsid w:val="002F74C8"/>
    <w:rsid w:val="002F7A42"/>
    <w:rsid w:val="002F7C2D"/>
    <w:rsid w:val="003002D1"/>
    <w:rsid w:val="0030078C"/>
    <w:rsid w:val="003008F3"/>
    <w:rsid w:val="00302104"/>
    <w:rsid w:val="003049E7"/>
    <w:rsid w:val="00305C54"/>
    <w:rsid w:val="00305CF1"/>
    <w:rsid w:val="00307CBD"/>
    <w:rsid w:val="0031016C"/>
    <w:rsid w:val="00310A40"/>
    <w:rsid w:val="00312182"/>
    <w:rsid w:val="003124F3"/>
    <w:rsid w:val="003136BF"/>
    <w:rsid w:val="003140CC"/>
    <w:rsid w:val="0031426B"/>
    <w:rsid w:val="00320B01"/>
    <w:rsid w:val="003213F9"/>
    <w:rsid w:val="00322728"/>
    <w:rsid w:val="00323A36"/>
    <w:rsid w:val="00323AB6"/>
    <w:rsid w:val="00323DBF"/>
    <w:rsid w:val="00327867"/>
    <w:rsid w:val="00327C4D"/>
    <w:rsid w:val="00330D74"/>
    <w:rsid w:val="003326C5"/>
    <w:rsid w:val="00332B12"/>
    <w:rsid w:val="003332EE"/>
    <w:rsid w:val="00333B19"/>
    <w:rsid w:val="00336585"/>
    <w:rsid w:val="00337C06"/>
    <w:rsid w:val="00337CBC"/>
    <w:rsid w:val="003411BF"/>
    <w:rsid w:val="00341EC5"/>
    <w:rsid w:val="003428FC"/>
    <w:rsid w:val="00346123"/>
    <w:rsid w:val="00346622"/>
    <w:rsid w:val="003507DB"/>
    <w:rsid w:val="00351B07"/>
    <w:rsid w:val="00352045"/>
    <w:rsid w:val="003527AA"/>
    <w:rsid w:val="00352F10"/>
    <w:rsid w:val="00352F88"/>
    <w:rsid w:val="0035417A"/>
    <w:rsid w:val="00355DEF"/>
    <w:rsid w:val="0035654F"/>
    <w:rsid w:val="00356DE1"/>
    <w:rsid w:val="00357599"/>
    <w:rsid w:val="00360A4F"/>
    <w:rsid w:val="00361810"/>
    <w:rsid w:val="00361AC7"/>
    <w:rsid w:val="003630F8"/>
    <w:rsid w:val="0036323E"/>
    <w:rsid w:val="0036533D"/>
    <w:rsid w:val="00365C85"/>
    <w:rsid w:val="00366FCA"/>
    <w:rsid w:val="0036771E"/>
    <w:rsid w:val="00370621"/>
    <w:rsid w:val="0037085B"/>
    <w:rsid w:val="0037127C"/>
    <w:rsid w:val="00371B29"/>
    <w:rsid w:val="003746EF"/>
    <w:rsid w:val="003758A3"/>
    <w:rsid w:val="003766F8"/>
    <w:rsid w:val="00380106"/>
    <w:rsid w:val="003814F0"/>
    <w:rsid w:val="00381E07"/>
    <w:rsid w:val="0038263A"/>
    <w:rsid w:val="003829FB"/>
    <w:rsid w:val="00385788"/>
    <w:rsid w:val="00387796"/>
    <w:rsid w:val="00387A70"/>
    <w:rsid w:val="00387EA2"/>
    <w:rsid w:val="00391769"/>
    <w:rsid w:val="003918B3"/>
    <w:rsid w:val="00391A38"/>
    <w:rsid w:val="003953E1"/>
    <w:rsid w:val="003956B3"/>
    <w:rsid w:val="0039697F"/>
    <w:rsid w:val="00397C0E"/>
    <w:rsid w:val="003A0A4D"/>
    <w:rsid w:val="003A3D30"/>
    <w:rsid w:val="003A6452"/>
    <w:rsid w:val="003A68BE"/>
    <w:rsid w:val="003A6FA3"/>
    <w:rsid w:val="003A7B84"/>
    <w:rsid w:val="003B04F7"/>
    <w:rsid w:val="003B1CE2"/>
    <w:rsid w:val="003B34D1"/>
    <w:rsid w:val="003B406B"/>
    <w:rsid w:val="003B49E3"/>
    <w:rsid w:val="003B56CF"/>
    <w:rsid w:val="003B6F68"/>
    <w:rsid w:val="003C4969"/>
    <w:rsid w:val="003C78F6"/>
    <w:rsid w:val="003D0B09"/>
    <w:rsid w:val="003D103E"/>
    <w:rsid w:val="003D2CDC"/>
    <w:rsid w:val="003D438A"/>
    <w:rsid w:val="003D5C53"/>
    <w:rsid w:val="003E3231"/>
    <w:rsid w:val="003E41D5"/>
    <w:rsid w:val="003E46BA"/>
    <w:rsid w:val="003E51C9"/>
    <w:rsid w:val="003F31F8"/>
    <w:rsid w:val="003F694A"/>
    <w:rsid w:val="003F74C1"/>
    <w:rsid w:val="00400D62"/>
    <w:rsid w:val="00400F89"/>
    <w:rsid w:val="00401ADE"/>
    <w:rsid w:val="00402D76"/>
    <w:rsid w:val="00403C0B"/>
    <w:rsid w:val="00403F62"/>
    <w:rsid w:val="00404365"/>
    <w:rsid w:val="00404A75"/>
    <w:rsid w:val="00405B1A"/>
    <w:rsid w:val="0041098C"/>
    <w:rsid w:val="00410C76"/>
    <w:rsid w:val="00411907"/>
    <w:rsid w:val="00411C4B"/>
    <w:rsid w:val="00413B0D"/>
    <w:rsid w:val="00414D0E"/>
    <w:rsid w:val="00415138"/>
    <w:rsid w:val="0041574F"/>
    <w:rsid w:val="00416E17"/>
    <w:rsid w:val="00417EE3"/>
    <w:rsid w:val="004207EB"/>
    <w:rsid w:val="00420D93"/>
    <w:rsid w:val="00420E82"/>
    <w:rsid w:val="00421730"/>
    <w:rsid w:val="00421C56"/>
    <w:rsid w:val="004220E3"/>
    <w:rsid w:val="00422EC9"/>
    <w:rsid w:val="00423490"/>
    <w:rsid w:val="00423AC7"/>
    <w:rsid w:val="0042501F"/>
    <w:rsid w:val="00431032"/>
    <w:rsid w:val="00431D99"/>
    <w:rsid w:val="00432A42"/>
    <w:rsid w:val="004365CF"/>
    <w:rsid w:val="00436F46"/>
    <w:rsid w:val="00437276"/>
    <w:rsid w:val="00437C84"/>
    <w:rsid w:val="00441B40"/>
    <w:rsid w:val="0044222E"/>
    <w:rsid w:val="00444F8B"/>
    <w:rsid w:val="004467D0"/>
    <w:rsid w:val="00447956"/>
    <w:rsid w:val="004500B8"/>
    <w:rsid w:val="00452761"/>
    <w:rsid w:val="00453602"/>
    <w:rsid w:val="00453646"/>
    <w:rsid w:val="00455584"/>
    <w:rsid w:val="00456131"/>
    <w:rsid w:val="00456B54"/>
    <w:rsid w:val="00456BD5"/>
    <w:rsid w:val="00460353"/>
    <w:rsid w:val="00460B2D"/>
    <w:rsid w:val="00463984"/>
    <w:rsid w:val="00464643"/>
    <w:rsid w:val="00467A8F"/>
    <w:rsid w:val="00467B16"/>
    <w:rsid w:val="00472ED4"/>
    <w:rsid w:val="00475EAD"/>
    <w:rsid w:val="00481D10"/>
    <w:rsid w:val="00482667"/>
    <w:rsid w:val="00482AEC"/>
    <w:rsid w:val="00483F56"/>
    <w:rsid w:val="0048507D"/>
    <w:rsid w:val="00485D8F"/>
    <w:rsid w:val="00485E92"/>
    <w:rsid w:val="00486793"/>
    <w:rsid w:val="00486C66"/>
    <w:rsid w:val="004870DA"/>
    <w:rsid w:val="00490C0A"/>
    <w:rsid w:val="004934B4"/>
    <w:rsid w:val="004938C3"/>
    <w:rsid w:val="00493CD9"/>
    <w:rsid w:val="00494A3F"/>
    <w:rsid w:val="00497E22"/>
    <w:rsid w:val="004A2037"/>
    <w:rsid w:val="004A23BA"/>
    <w:rsid w:val="004A37F7"/>
    <w:rsid w:val="004A53D3"/>
    <w:rsid w:val="004A554A"/>
    <w:rsid w:val="004A5EE6"/>
    <w:rsid w:val="004A793C"/>
    <w:rsid w:val="004B047B"/>
    <w:rsid w:val="004B0C4C"/>
    <w:rsid w:val="004B4CDC"/>
    <w:rsid w:val="004B78D4"/>
    <w:rsid w:val="004B7F84"/>
    <w:rsid w:val="004C0C22"/>
    <w:rsid w:val="004C401F"/>
    <w:rsid w:val="004D121E"/>
    <w:rsid w:val="004D1B1C"/>
    <w:rsid w:val="004D5C90"/>
    <w:rsid w:val="004D6932"/>
    <w:rsid w:val="004D78B4"/>
    <w:rsid w:val="004E072F"/>
    <w:rsid w:val="004E1671"/>
    <w:rsid w:val="004E455B"/>
    <w:rsid w:val="004F2CBD"/>
    <w:rsid w:val="004F2F5A"/>
    <w:rsid w:val="004F4F98"/>
    <w:rsid w:val="004F69F6"/>
    <w:rsid w:val="004F79AC"/>
    <w:rsid w:val="00500D9A"/>
    <w:rsid w:val="00501310"/>
    <w:rsid w:val="00504D1C"/>
    <w:rsid w:val="00506E9B"/>
    <w:rsid w:val="00510A46"/>
    <w:rsid w:val="00510FAC"/>
    <w:rsid w:val="00512D0F"/>
    <w:rsid w:val="00513F04"/>
    <w:rsid w:val="0051604D"/>
    <w:rsid w:val="00516503"/>
    <w:rsid w:val="005207D8"/>
    <w:rsid w:val="0052163A"/>
    <w:rsid w:val="00521673"/>
    <w:rsid w:val="00523930"/>
    <w:rsid w:val="0052413D"/>
    <w:rsid w:val="005244F1"/>
    <w:rsid w:val="00525B83"/>
    <w:rsid w:val="005301E0"/>
    <w:rsid w:val="00531E5A"/>
    <w:rsid w:val="00534593"/>
    <w:rsid w:val="00534E7F"/>
    <w:rsid w:val="00535DF2"/>
    <w:rsid w:val="005370B3"/>
    <w:rsid w:val="00537CDC"/>
    <w:rsid w:val="00540043"/>
    <w:rsid w:val="005417DC"/>
    <w:rsid w:val="00542E7B"/>
    <w:rsid w:val="00543040"/>
    <w:rsid w:val="00543C5E"/>
    <w:rsid w:val="0054558C"/>
    <w:rsid w:val="0054678F"/>
    <w:rsid w:val="00551943"/>
    <w:rsid w:val="00552912"/>
    <w:rsid w:val="005543D9"/>
    <w:rsid w:val="00554653"/>
    <w:rsid w:val="00554B01"/>
    <w:rsid w:val="0055543E"/>
    <w:rsid w:val="00560185"/>
    <w:rsid w:val="0056061A"/>
    <w:rsid w:val="00560A9D"/>
    <w:rsid w:val="0056165B"/>
    <w:rsid w:val="005628A9"/>
    <w:rsid w:val="00562917"/>
    <w:rsid w:val="00571986"/>
    <w:rsid w:val="00571B8C"/>
    <w:rsid w:val="00575CDA"/>
    <w:rsid w:val="005762AA"/>
    <w:rsid w:val="00576352"/>
    <w:rsid w:val="00576C91"/>
    <w:rsid w:val="005777FE"/>
    <w:rsid w:val="00577C54"/>
    <w:rsid w:val="00580DDF"/>
    <w:rsid w:val="005811B7"/>
    <w:rsid w:val="00583F7A"/>
    <w:rsid w:val="0058435A"/>
    <w:rsid w:val="0058461C"/>
    <w:rsid w:val="00584BB1"/>
    <w:rsid w:val="00586228"/>
    <w:rsid w:val="00586696"/>
    <w:rsid w:val="00587486"/>
    <w:rsid w:val="00591989"/>
    <w:rsid w:val="00593BC1"/>
    <w:rsid w:val="005946D3"/>
    <w:rsid w:val="00594DC8"/>
    <w:rsid w:val="00595B7E"/>
    <w:rsid w:val="0059665B"/>
    <w:rsid w:val="00597631"/>
    <w:rsid w:val="005A1A23"/>
    <w:rsid w:val="005A1BC5"/>
    <w:rsid w:val="005A572E"/>
    <w:rsid w:val="005A5C80"/>
    <w:rsid w:val="005A6E3C"/>
    <w:rsid w:val="005A7A6D"/>
    <w:rsid w:val="005A7C13"/>
    <w:rsid w:val="005B036E"/>
    <w:rsid w:val="005B084E"/>
    <w:rsid w:val="005B1003"/>
    <w:rsid w:val="005B6AF4"/>
    <w:rsid w:val="005B7720"/>
    <w:rsid w:val="005C04CB"/>
    <w:rsid w:val="005C0932"/>
    <w:rsid w:val="005C0FD2"/>
    <w:rsid w:val="005C47A6"/>
    <w:rsid w:val="005C5017"/>
    <w:rsid w:val="005C61FE"/>
    <w:rsid w:val="005D16AD"/>
    <w:rsid w:val="005D1856"/>
    <w:rsid w:val="005D2016"/>
    <w:rsid w:val="005D30EF"/>
    <w:rsid w:val="005D3EF0"/>
    <w:rsid w:val="005D4CAA"/>
    <w:rsid w:val="005D5E6E"/>
    <w:rsid w:val="005D6F16"/>
    <w:rsid w:val="005D72E1"/>
    <w:rsid w:val="005D759C"/>
    <w:rsid w:val="005E06C0"/>
    <w:rsid w:val="005E08B3"/>
    <w:rsid w:val="005E4709"/>
    <w:rsid w:val="005E58D3"/>
    <w:rsid w:val="005E6E16"/>
    <w:rsid w:val="005E7C20"/>
    <w:rsid w:val="005F1D32"/>
    <w:rsid w:val="005F2515"/>
    <w:rsid w:val="005F3AD1"/>
    <w:rsid w:val="005F400E"/>
    <w:rsid w:val="005F4214"/>
    <w:rsid w:val="005F466E"/>
    <w:rsid w:val="005F7342"/>
    <w:rsid w:val="0060108F"/>
    <w:rsid w:val="006040A3"/>
    <w:rsid w:val="00604563"/>
    <w:rsid w:val="00610A3C"/>
    <w:rsid w:val="00611092"/>
    <w:rsid w:val="006119E5"/>
    <w:rsid w:val="006132AA"/>
    <w:rsid w:val="006138D7"/>
    <w:rsid w:val="006158E4"/>
    <w:rsid w:val="00615E83"/>
    <w:rsid w:val="00616017"/>
    <w:rsid w:val="00617DA0"/>
    <w:rsid w:val="006205C5"/>
    <w:rsid w:val="0062383F"/>
    <w:rsid w:val="00624707"/>
    <w:rsid w:val="006257DB"/>
    <w:rsid w:val="0062652C"/>
    <w:rsid w:val="00626905"/>
    <w:rsid w:val="00627F48"/>
    <w:rsid w:val="0063246F"/>
    <w:rsid w:val="006339BD"/>
    <w:rsid w:val="0063455F"/>
    <w:rsid w:val="00635814"/>
    <w:rsid w:val="00635C1B"/>
    <w:rsid w:val="00636907"/>
    <w:rsid w:val="006372C4"/>
    <w:rsid w:val="0064034F"/>
    <w:rsid w:val="00640B08"/>
    <w:rsid w:val="00644532"/>
    <w:rsid w:val="00644CA3"/>
    <w:rsid w:val="006457B5"/>
    <w:rsid w:val="0065143C"/>
    <w:rsid w:val="00651861"/>
    <w:rsid w:val="00654C05"/>
    <w:rsid w:val="006552A8"/>
    <w:rsid w:val="00655ED0"/>
    <w:rsid w:val="00656546"/>
    <w:rsid w:val="00661985"/>
    <w:rsid w:val="00663FCF"/>
    <w:rsid w:val="00664E98"/>
    <w:rsid w:val="006652A2"/>
    <w:rsid w:val="00667D94"/>
    <w:rsid w:val="0067255E"/>
    <w:rsid w:val="006802AE"/>
    <w:rsid w:val="00680CE1"/>
    <w:rsid w:val="00681627"/>
    <w:rsid w:val="00682055"/>
    <w:rsid w:val="00683071"/>
    <w:rsid w:val="00684CF6"/>
    <w:rsid w:val="00685596"/>
    <w:rsid w:val="006864D2"/>
    <w:rsid w:val="006907EB"/>
    <w:rsid w:val="00692490"/>
    <w:rsid w:val="006929F6"/>
    <w:rsid w:val="006938DF"/>
    <w:rsid w:val="00693EEF"/>
    <w:rsid w:val="006969CC"/>
    <w:rsid w:val="00696A15"/>
    <w:rsid w:val="00696FA0"/>
    <w:rsid w:val="006970BB"/>
    <w:rsid w:val="006A210E"/>
    <w:rsid w:val="006A36CB"/>
    <w:rsid w:val="006A48A7"/>
    <w:rsid w:val="006A5880"/>
    <w:rsid w:val="006A5D40"/>
    <w:rsid w:val="006A6679"/>
    <w:rsid w:val="006A6C56"/>
    <w:rsid w:val="006B3A82"/>
    <w:rsid w:val="006C116D"/>
    <w:rsid w:val="006C1A71"/>
    <w:rsid w:val="006C22A7"/>
    <w:rsid w:val="006C4450"/>
    <w:rsid w:val="006C4550"/>
    <w:rsid w:val="006C4DF0"/>
    <w:rsid w:val="006C5CF5"/>
    <w:rsid w:val="006C7765"/>
    <w:rsid w:val="006D2E37"/>
    <w:rsid w:val="006D33FF"/>
    <w:rsid w:val="006E050F"/>
    <w:rsid w:val="006E10A1"/>
    <w:rsid w:val="006E361C"/>
    <w:rsid w:val="006E5BAD"/>
    <w:rsid w:val="006F032E"/>
    <w:rsid w:val="006F13F4"/>
    <w:rsid w:val="006F1812"/>
    <w:rsid w:val="006F250E"/>
    <w:rsid w:val="006F4A82"/>
    <w:rsid w:val="006F5E5C"/>
    <w:rsid w:val="006F6430"/>
    <w:rsid w:val="0070315B"/>
    <w:rsid w:val="007032D8"/>
    <w:rsid w:val="00703879"/>
    <w:rsid w:val="007044E5"/>
    <w:rsid w:val="007103FB"/>
    <w:rsid w:val="00710C37"/>
    <w:rsid w:val="007142FA"/>
    <w:rsid w:val="0071436B"/>
    <w:rsid w:val="007153CF"/>
    <w:rsid w:val="0071568A"/>
    <w:rsid w:val="00722027"/>
    <w:rsid w:val="007247B1"/>
    <w:rsid w:val="00724D40"/>
    <w:rsid w:val="00724FA4"/>
    <w:rsid w:val="00726A4B"/>
    <w:rsid w:val="00726C2D"/>
    <w:rsid w:val="00730800"/>
    <w:rsid w:val="007363AE"/>
    <w:rsid w:val="007403C0"/>
    <w:rsid w:val="0074164C"/>
    <w:rsid w:val="007450A0"/>
    <w:rsid w:val="007455B0"/>
    <w:rsid w:val="00750CE8"/>
    <w:rsid w:val="00750FA9"/>
    <w:rsid w:val="00753D4A"/>
    <w:rsid w:val="00753DEC"/>
    <w:rsid w:val="00753E0B"/>
    <w:rsid w:val="00753FBA"/>
    <w:rsid w:val="00755F02"/>
    <w:rsid w:val="0075624F"/>
    <w:rsid w:val="007602AA"/>
    <w:rsid w:val="00760884"/>
    <w:rsid w:val="00761897"/>
    <w:rsid w:val="007632B3"/>
    <w:rsid w:val="00764AE7"/>
    <w:rsid w:val="00764F65"/>
    <w:rsid w:val="007652EF"/>
    <w:rsid w:val="00765DE1"/>
    <w:rsid w:val="00766A0C"/>
    <w:rsid w:val="00771531"/>
    <w:rsid w:val="007721D6"/>
    <w:rsid w:val="0077236F"/>
    <w:rsid w:val="00772BDC"/>
    <w:rsid w:val="00773BE9"/>
    <w:rsid w:val="00773FB7"/>
    <w:rsid w:val="007744BC"/>
    <w:rsid w:val="00774DC1"/>
    <w:rsid w:val="00777437"/>
    <w:rsid w:val="007776B4"/>
    <w:rsid w:val="00780792"/>
    <w:rsid w:val="007821E4"/>
    <w:rsid w:val="00783067"/>
    <w:rsid w:val="0078309E"/>
    <w:rsid w:val="00783EA2"/>
    <w:rsid w:val="0078569F"/>
    <w:rsid w:val="0078598B"/>
    <w:rsid w:val="00786D82"/>
    <w:rsid w:val="0079022B"/>
    <w:rsid w:val="0079296E"/>
    <w:rsid w:val="00793734"/>
    <w:rsid w:val="00793E08"/>
    <w:rsid w:val="007946B2"/>
    <w:rsid w:val="007947DF"/>
    <w:rsid w:val="00795D86"/>
    <w:rsid w:val="00796821"/>
    <w:rsid w:val="007A1AFA"/>
    <w:rsid w:val="007A44B4"/>
    <w:rsid w:val="007A53BF"/>
    <w:rsid w:val="007A5595"/>
    <w:rsid w:val="007A6310"/>
    <w:rsid w:val="007A74FD"/>
    <w:rsid w:val="007A7D3D"/>
    <w:rsid w:val="007A7EE4"/>
    <w:rsid w:val="007B225D"/>
    <w:rsid w:val="007B2498"/>
    <w:rsid w:val="007B2FFF"/>
    <w:rsid w:val="007B37B3"/>
    <w:rsid w:val="007B3C5C"/>
    <w:rsid w:val="007B433E"/>
    <w:rsid w:val="007B4B2D"/>
    <w:rsid w:val="007B7B33"/>
    <w:rsid w:val="007B7F5C"/>
    <w:rsid w:val="007C1C64"/>
    <w:rsid w:val="007C22CB"/>
    <w:rsid w:val="007C2EDB"/>
    <w:rsid w:val="007C347D"/>
    <w:rsid w:val="007C4F50"/>
    <w:rsid w:val="007C5D33"/>
    <w:rsid w:val="007C62FA"/>
    <w:rsid w:val="007C6549"/>
    <w:rsid w:val="007C6A52"/>
    <w:rsid w:val="007D0189"/>
    <w:rsid w:val="007D1044"/>
    <w:rsid w:val="007D357E"/>
    <w:rsid w:val="007D4059"/>
    <w:rsid w:val="007D461E"/>
    <w:rsid w:val="007D5068"/>
    <w:rsid w:val="007D66AF"/>
    <w:rsid w:val="007D6E69"/>
    <w:rsid w:val="007D6FF5"/>
    <w:rsid w:val="007D79A1"/>
    <w:rsid w:val="007E3BFE"/>
    <w:rsid w:val="007E4044"/>
    <w:rsid w:val="007E4180"/>
    <w:rsid w:val="007E48BC"/>
    <w:rsid w:val="007E79F7"/>
    <w:rsid w:val="007F157A"/>
    <w:rsid w:val="007F18E3"/>
    <w:rsid w:val="007F3133"/>
    <w:rsid w:val="007F3630"/>
    <w:rsid w:val="007F7BF7"/>
    <w:rsid w:val="00800D6A"/>
    <w:rsid w:val="00801541"/>
    <w:rsid w:val="00802C76"/>
    <w:rsid w:val="00803450"/>
    <w:rsid w:val="00804273"/>
    <w:rsid w:val="00804E40"/>
    <w:rsid w:val="00805E2A"/>
    <w:rsid w:val="00806CC9"/>
    <w:rsid w:val="00807559"/>
    <w:rsid w:val="00810ACF"/>
    <w:rsid w:val="00812508"/>
    <w:rsid w:val="008128AF"/>
    <w:rsid w:val="00812C36"/>
    <w:rsid w:val="00812FD3"/>
    <w:rsid w:val="00813464"/>
    <w:rsid w:val="00813C24"/>
    <w:rsid w:val="008165A0"/>
    <w:rsid w:val="008171D4"/>
    <w:rsid w:val="00820B83"/>
    <w:rsid w:val="00822302"/>
    <w:rsid w:val="00823E52"/>
    <w:rsid w:val="00824079"/>
    <w:rsid w:val="0082449E"/>
    <w:rsid w:val="00830D60"/>
    <w:rsid w:val="00831154"/>
    <w:rsid w:val="00832EA2"/>
    <w:rsid w:val="008338A9"/>
    <w:rsid w:val="00833A96"/>
    <w:rsid w:val="00834240"/>
    <w:rsid w:val="00834808"/>
    <w:rsid w:val="008355A8"/>
    <w:rsid w:val="00835AE9"/>
    <w:rsid w:val="00837574"/>
    <w:rsid w:val="00841756"/>
    <w:rsid w:val="00843962"/>
    <w:rsid w:val="00844EA2"/>
    <w:rsid w:val="008450BC"/>
    <w:rsid w:val="0084533F"/>
    <w:rsid w:val="00845DF2"/>
    <w:rsid w:val="0084620F"/>
    <w:rsid w:val="008464EF"/>
    <w:rsid w:val="00847066"/>
    <w:rsid w:val="008470F3"/>
    <w:rsid w:val="008501C7"/>
    <w:rsid w:val="00850B09"/>
    <w:rsid w:val="00852BC2"/>
    <w:rsid w:val="0085334B"/>
    <w:rsid w:val="008537BA"/>
    <w:rsid w:val="00856712"/>
    <w:rsid w:val="0085750E"/>
    <w:rsid w:val="00860808"/>
    <w:rsid w:val="0086147F"/>
    <w:rsid w:val="00861C13"/>
    <w:rsid w:val="00862349"/>
    <w:rsid w:val="00863B1F"/>
    <w:rsid w:val="00864038"/>
    <w:rsid w:val="008652C1"/>
    <w:rsid w:val="0086571E"/>
    <w:rsid w:val="00866BCD"/>
    <w:rsid w:val="00867F36"/>
    <w:rsid w:val="00870214"/>
    <w:rsid w:val="0087080C"/>
    <w:rsid w:val="0087084D"/>
    <w:rsid w:val="00871116"/>
    <w:rsid w:val="00871FA4"/>
    <w:rsid w:val="00874A7A"/>
    <w:rsid w:val="00874A8A"/>
    <w:rsid w:val="00875711"/>
    <w:rsid w:val="00876E33"/>
    <w:rsid w:val="00876EA0"/>
    <w:rsid w:val="00882F8F"/>
    <w:rsid w:val="00883A68"/>
    <w:rsid w:val="0088526B"/>
    <w:rsid w:val="00885C51"/>
    <w:rsid w:val="00886F17"/>
    <w:rsid w:val="00887D11"/>
    <w:rsid w:val="00891937"/>
    <w:rsid w:val="00896B85"/>
    <w:rsid w:val="0089721E"/>
    <w:rsid w:val="008A0DFC"/>
    <w:rsid w:val="008A0E8B"/>
    <w:rsid w:val="008A243D"/>
    <w:rsid w:val="008A76B9"/>
    <w:rsid w:val="008B03D5"/>
    <w:rsid w:val="008B10C3"/>
    <w:rsid w:val="008B422C"/>
    <w:rsid w:val="008B5F62"/>
    <w:rsid w:val="008B6341"/>
    <w:rsid w:val="008B6E31"/>
    <w:rsid w:val="008B7AE6"/>
    <w:rsid w:val="008C3F12"/>
    <w:rsid w:val="008C481C"/>
    <w:rsid w:val="008C4A6C"/>
    <w:rsid w:val="008C4E76"/>
    <w:rsid w:val="008C52C8"/>
    <w:rsid w:val="008C604D"/>
    <w:rsid w:val="008C620D"/>
    <w:rsid w:val="008C6FDB"/>
    <w:rsid w:val="008C70FA"/>
    <w:rsid w:val="008D06C6"/>
    <w:rsid w:val="008D155E"/>
    <w:rsid w:val="008D1D0C"/>
    <w:rsid w:val="008D5E9D"/>
    <w:rsid w:val="008D6730"/>
    <w:rsid w:val="008E1266"/>
    <w:rsid w:val="008E6250"/>
    <w:rsid w:val="008E7B05"/>
    <w:rsid w:val="008F0521"/>
    <w:rsid w:val="008F17CC"/>
    <w:rsid w:val="008F3162"/>
    <w:rsid w:val="008F3942"/>
    <w:rsid w:val="008F432C"/>
    <w:rsid w:val="008F657F"/>
    <w:rsid w:val="008F789E"/>
    <w:rsid w:val="009007A8"/>
    <w:rsid w:val="00903A0D"/>
    <w:rsid w:val="00904966"/>
    <w:rsid w:val="00907018"/>
    <w:rsid w:val="009073B7"/>
    <w:rsid w:val="009134C3"/>
    <w:rsid w:val="009146EE"/>
    <w:rsid w:val="00916703"/>
    <w:rsid w:val="00917701"/>
    <w:rsid w:val="00917C6F"/>
    <w:rsid w:val="00920249"/>
    <w:rsid w:val="00921749"/>
    <w:rsid w:val="009220C7"/>
    <w:rsid w:val="00922600"/>
    <w:rsid w:val="00923F21"/>
    <w:rsid w:val="00926B46"/>
    <w:rsid w:val="00926EC6"/>
    <w:rsid w:val="0093053C"/>
    <w:rsid w:val="00930D16"/>
    <w:rsid w:val="00932355"/>
    <w:rsid w:val="00932F14"/>
    <w:rsid w:val="00934B5E"/>
    <w:rsid w:val="0093603C"/>
    <w:rsid w:val="00941150"/>
    <w:rsid w:val="009415D1"/>
    <w:rsid w:val="00941638"/>
    <w:rsid w:val="0094247F"/>
    <w:rsid w:val="00942D60"/>
    <w:rsid w:val="00942EF1"/>
    <w:rsid w:val="0094358A"/>
    <w:rsid w:val="00944E6C"/>
    <w:rsid w:val="00945557"/>
    <w:rsid w:val="009460FA"/>
    <w:rsid w:val="009464D3"/>
    <w:rsid w:val="00947534"/>
    <w:rsid w:val="009478A1"/>
    <w:rsid w:val="00951D64"/>
    <w:rsid w:val="00957ACA"/>
    <w:rsid w:val="009624ED"/>
    <w:rsid w:val="0096523B"/>
    <w:rsid w:val="0096549D"/>
    <w:rsid w:val="009700F6"/>
    <w:rsid w:val="00971359"/>
    <w:rsid w:val="00971BC1"/>
    <w:rsid w:val="00972D06"/>
    <w:rsid w:val="009739DF"/>
    <w:rsid w:val="00973D82"/>
    <w:rsid w:val="00973DF6"/>
    <w:rsid w:val="00974485"/>
    <w:rsid w:val="009756D1"/>
    <w:rsid w:val="009777C9"/>
    <w:rsid w:val="0098097C"/>
    <w:rsid w:val="00980CBE"/>
    <w:rsid w:val="00981195"/>
    <w:rsid w:val="00985866"/>
    <w:rsid w:val="009863E2"/>
    <w:rsid w:val="00986EE4"/>
    <w:rsid w:val="009878E6"/>
    <w:rsid w:val="00991172"/>
    <w:rsid w:val="00992A1D"/>
    <w:rsid w:val="0099323D"/>
    <w:rsid w:val="0099409E"/>
    <w:rsid w:val="00994285"/>
    <w:rsid w:val="00994302"/>
    <w:rsid w:val="00994A90"/>
    <w:rsid w:val="009957B0"/>
    <w:rsid w:val="0099623A"/>
    <w:rsid w:val="00996520"/>
    <w:rsid w:val="00997602"/>
    <w:rsid w:val="009A0156"/>
    <w:rsid w:val="009A2218"/>
    <w:rsid w:val="009A2699"/>
    <w:rsid w:val="009A2A8F"/>
    <w:rsid w:val="009A2DC9"/>
    <w:rsid w:val="009A391C"/>
    <w:rsid w:val="009A5B94"/>
    <w:rsid w:val="009A6F8A"/>
    <w:rsid w:val="009B1683"/>
    <w:rsid w:val="009B4173"/>
    <w:rsid w:val="009B4D71"/>
    <w:rsid w:val="009B53B7"/>
    <w:rsid w:val="009B777C"/>
    <w:rsid w:val="009C0A19"/>
    <w:rsid w:val="009C0A43"/>
    <w:rsid w:val="009C2D2B"/>
    <w:rsid w:val="009C348B"/>
    <w:rsid w:val="009C4B97"/>
    <w:rsid w:val="009C4FCC"/>
    <w:rsid w:val="009C7E37"/>
    <w:rsid w:val="009D614A"/>
    <w:rsid w:val="009D647B"/>
    <w:rsid w:val="009D74A1"/>
    <w:rsid w:val="009E0A61"/>
    <w:rsid w:val="009E1EFA"/>
    <w:rsid w:val="009E3010"/>
    <w:rsid w:val="009E46F5"/>
    <w:rsid w:val="009E6468"/>
    <w:rsid w:val="009E69E3"/>
    <w:rsid w:val="009F4C37"/>
    <w:rsid w:val="009F681B"/>
    <w:rsid w:val="009F6930"/>
    <w:rsid w:val="009F7065"/>
    <w:rsid w:val="009F756B"/>
    <w:rsid w:val="00A01694"/>
    <w:rsid w:val="00A04352"/>
    <w:rsid w:val="00A0521F"/>
    <w:rsid w:val="00A071C7"/>
    <w:rsid w:val="00A07B2D"/>
    <w:rsid w:val="00A17A62"/>
    <w:rsid w:val="00A21BEB"/>
    <w:rsid w:val="00A2244F"/>
    <w:rsid w:val="00A24374"/>
    <w:rsid w:val="00A2449C"/>
    <w:rsid w:val="00A255B2"/>
    <w:rsid w:val="00A27160"/>
    <w:rsid w:val="00A30504"/>
    <w:rsid w:val="00A313C0"/>
    <w:rsid w:val="00A318EB"/>
    <w:rsid w:val="00A33CCA"/>
    <w:rsid w:val="00A35053"/>
    <w:rsid w:val="00A35330"/>
    <w:rsid w:val="00A41070"/>
    <w:rsid w:val="00A4171C"/>
    <w:rsid w:val="00A42D27"/>
    <w:rsid w:val="00A44C6F"/>
    <w:rsid w:val="00A4544F"/>
    <w:rsid w:val="00A46AC6"/>
    <w:rsid w:val="00A47E42"/>
    <w:rsid w:val="00A551B9"/>
    <w:rsid w:val="00A56DC7"/>
    <w:rsid w:val="00A6297C"/>
    <w:rsid w:val="00A64875"/>
    <w:rsid w:val="00A654D7"/>
    <w:rsid w:val="00A65687"/>
    <w:rsid w:val="00A66FDD"/>
    <w:rsid w:val="00A671E6"/>
    <w:rsid w:val="00A674CD"/>
    <w:rsid w:val="00A70214"/>
    <w:rsid w:val="00A709E5"/>
    <w:rsid w:val="00A710FB"/>
    <w:rsid w:val="00A725E3"/>
    <w:rsid w:val="00A727FE"/>
    <w:rsid w:val="00A74FD1"/>
    <w:rsid w:val="00A75921"/>
    <w:rsid w:val="00A83BFF"/>
    <w:rsid w:val="00A844D0"/>
    <w:rsid w:val="00A84A58"/>
    <w:rsid w:val="00A87852"/>
    <w:rsid w:val="00A900AB"/>
    <w:rsid w:val="00A91751"/>
    <w:rsid w:val="00A927DA"/>
    <w:rsid w:val="00A929A9"/>
    <w:rsid w:val="00A92C42"/>
    <w:rsid w:val="00A93FC5"/>
    <w:rsid w:val="00A96594"/>
    <w:rsid w:val="00A96987"/>
    <w:rsid w:val="00A97D6D"/>
    <w:rsid w:val="00AA106F"/>
    <w:rsid w:val="00AA41BA"/>
    <w:rsid w:val="00AA46C3"/>
    <w:rsid w:val="00AA51EA"/>
    <w:rsid w:val="00AA5A13"/>
    <w:rsid w:val="00AA5A8A"/>
    <w:rsid w:val="00AA6D0D"/>
    <w:rsid w:val="00AA6FA3"/>
    <w:rsid w:val="00AA7348"/>
    <w:rsid w:val="00AB1DFE"/>
    <w:rsid w:val="00AB6158"/>
    <w:rsid w:val="00AB7D03"/>
    <w:rsid w:val="00AC1B46"/>
    <w:rsid w:val="00AC1DBC"/>
    <w:rsid w:val="00AC21E1"/>
    <w:rsid w:val="00AC24E3"/>
    <w:rsid w:val="00AC428E"/>
    <w:rsid w:val="00AC6F1D"/>
    <w:rsid w:val="00AC70AF"/>
    <w:rsid w:val="00AC70B4"/>
    <w:rsid w:val="00AC7104"/>
    <w:rsid w:val="00AC7AD0"/>
    <w:rsid w:val="00AD065B"/>
    <w:rsid w:val="00AD2129"/>
    <w:rsid w:val="00AD344F"/>
    <w:rsid w:val="00AD48A6"/>
    <w:rsid w:val="00AD54C1"/>
    <w:rsid w:val="00AD5624"/>
    <w:rsid w:val="00AD73DF"/>
    <w:rsid w:val="00AD7FD8"/>
    <w:rsid w:val="00AE0380"/>
    <w:rsid w:val="00AE1043"/>
    <w:rsid w:val="00AE4FFD"/>
    <w:rsid w:val="00AE58E2"/>
    <w:rsid w:val="00AE5BDF"/>
    <w:rsid w:val="00AE6B68"/>
    <w:rsid w:val="00AF06D1"/>
    <w:rsid w:val="00AF24FA"/>
    <w:rsid w:val="00AF3270"/>
    <w:rsid w:val="00AF387F"/>
    <w:rsid w:val="00AF397D"/>
    <w:rsid w:val="00AF599B"/>
    <w:rsid w:val="00B00E7F"/>
    <w:rsid w:val="00B01C96"/>
    <w:rsid w:val="00B0405A"/>
    <w:rsid w:val="00B04E16"/>
    <w:rsid w:val="00B05031"/>
    <w:rsid w:val="00B05AFA"/>
    <w:rsid w:val="00B06B7D"/>
    <w:rsid w:val="00B10C37"/>
    <w:rsid w:val="00B124A0"/>
    <w:rsid w:val="00B14F2A"/>
    <w:rsid w:val="00B16349"/>
    <w:rsid w:val="00B17112"/>
    <w:rsid w:val="00B21055"/>
    <w:rsid w:val="00B21298"/>
    <w:rsid w:val="00B219DD"/>
    <w:rsid w:val="00B21DCC"/>
    <w:rsid w:val="00B24BB0"/>
    <w:rsid w:val="00B25D22"/>
    <w:rsid w:val="00B25F37"/>
    <w:rsid w:val="00B27090"/>
    <w:rsid w:val="00B3323E"/>
    <w:rsid w:val="00B37158"/>
    <w:rsid w:val="00B37604"/>
    <w:rsid w:val="00B42116"/>
    <w:rsid w:val="00B425AA"/>
    <w:rsid w:val="00B437D3"/>
    <w:rsid w:val="00B44422"/>
    <w:rsid w:val="00B44506"/>
    <w:rsid w:val="00B46EA0"/>
    <w:rsid w:val="00B47772"/>
    <w:rsid w:val="00B50264"/>
    <w:rsid w:val="00B50B04"/>
    <w:rsid w:val="00B51E73"/>
    <w:rsid w:val="00B53D3B"/>
    <w:rsid w:val="00B55592"/>
    <w:rsid w:val="00B55714"/>
    <w:rsid w:val="00B56081"/>
    <w:rsid w:val="00B6078C"/>
    <w:rsid w:val="00B621F2"/>
    <w:rsid w:val="00B62675"/>
    <w:rsid w:val="00B6277A"/>
    <w:rsid w:val="00B63BBA"/>
    <w:rsid w:val="00B63E50"/>
    <w:rsid w:val="00B6531C"/>
    <w:rsid w:val="00B65758"/>
    <w:rsid w:val="00B67EEA"/>
    <w:rsid w:val="00B70090"/>
    <w:rsid w:val="00B713E2"/>
    <w:rsid w:val="00B731D3"/>
    <w:rsid w:val="00B74BDC"/>
    <w:rsid w:val="00B7518A"/>
    <w:rsid w:val="00B75B57"/>
    <w:rsid w:val="00B77707"/>
    <w:rsid w:val="00B77C18"/>
    <w:rsid w:val="00B811B3"/>
    <w:rsid w:val="00B839A3"/>
    <w:rsid w:val="00B84381"/>
    <w:rsid w:val="00B8680E"/>
    <w:rsid w:val="00B868E3"/>
    <w:rsid w:val="00B87CCD"/>
    <w:rsid w:val="00B9018E"/>
    <w:rsid w:val="00B902BD"/>
    <w:rsid w:val="00B92501"/>
    <w:rsid w:val="00B931BA"/>
    <w:rsid w:val="00B93B7E"/>
    <w:rsid w:val="00B94306"/>
    <w:rsid w:val="00B943DE"/>
    <w:rsid w:val="00B960FE"/>
    <w:rsid w:val="00BA08CA"/>
    <w:rsid w:val="00BA1009"/>
    <w:rsid w:val="00BA15CF"/>
    <w:rsid w:val="00BA3882"/>
    <w:rsid w:val="00BA4CCF"/>
    <w:rsid w:val="00BA674D"/>
    <w:rsid w:val="00BB0EC9"/>
    <w:rsid w:val="00BB26EF"/>
    <w:rsid w:val="00BB2DB2"/>
    <w:rsid w:val="00BB7760"/>
    <w:rsid w:val="00BB7EB4"/>
    <w:rsid w:val="00BC2093"/>
    <w:rsid w:val="00BC274D"/>
    <w:rsid w:val="00BC44BB"/>
    <w:rsid w:val="00BC6E07"/>
    <w:rsid w:val="00BC7474"/>
    <w:rsid w:val="00BC7E3A"/>
    <w:rsid w:val="00BD251F"/>
    <w:rsid w:val="00BD2921"/>
    <w:rsid w:val="00BD2A39"/>
    <w:rsid w:val="00BD2CE3"/>
    <w:rsid w:val="00BD2E80"/>
    <w:rsid w:val="00BD3EA6"/>
    <w:rsid w:val="00BD49FF"/>
    <w:rsid w:val="00BD4B64"/>
    <w:rsid w:val="00BD4C5D"/>
    <w:rsid w:val="00BD5219"/>
    <w:rsid w:val="00BD5513"/>
    <w:rsid w:val="00BD77E1"/>
    <w:rsid w:val="00BD7A83"/>
    <w:rsid w:val="00BE0316"/>
    <w:rsid w:val="00BE04BF"/>
    <w:rsid w:val="00BE11B8"/>
    <w:rsid w:val="00BE36A9"/>
    <w:rsid w:val="00BE3AC3"/>
    <w:rsid w:val="00BE5243"/>
    <w:rsid w:val="00BE6006"/>
    <w:rsid w:val="00BF3E5D"/>
    <w:rsid w:val="00BF447F"/>
    <w:rsid w:val="00BF45A3"/>
    <w:rsid w:val="00BF7FF0"/>
    <w:rsid w:val="00C01485"/>
    <w:rsid w:val="00C01915"/>
    <w:rsid w:val="00C02CEE"/>
    <w:rsid w:val="00C05889"/>
    <w:rsid w:val="00C11655"/>
    <w:rsid w:val="00C11AEA"/>
    <w:rsid w:val="00C12502"/>
    <w:rsid w:val="00C14694"/>
    <w:rsid w:val="00C206F9"/>
    <w:rsid w:val="00C20DC6"/>
    <w:rsid w:val="00C227B2"/>
    <w:rsid w:val="00C2431C"/>
    <w:rsid w:val="00C24376"/>
    <w:rsid w:val="00C26B3B"/>
    <w:rsid w:val="00C31151"/>
    <w:rsid w:val="00C321E1"/>
    <w:rsid w:val="00C3230F"/>
    <w:rsid w:val="00C36A68"/>
    <w:rsid w:val="00C37CD5"/>
    <w:rsid w:val="00C4018F"/>
    <w:rsid w:val="00C402E0"/>
    <w:rsid w:val="00C40AA5"/>
    <w:rsid w:val="00C46C7C"/>
    <w:rsid w:val="00C46F70"/>
    <w:rsid w:val="00C476D0"/>
    <w:rsid w:val="00C54CE2"/>
    <w:rsid w:val="00C5717E"/>
    <w:rsid w:val="00C62829"/>
    <w:rsid w:val="00C628D2"/>
    <w:rsid w:val="00C63592"/>
    <w:rsid w:val="00C64070"/>
    <w:rsid w:val="00C6434A"/>
    <w:rsid w:val="00C64555"/>
    <w:rsid w:val="00C65691"/>
    <w:rsid w:val="00C666C3"/>
    <w:rsid w:val="00C675EA"/>
    <w:rsid w:val="00C70B58"/>
    <w:rsid w:val="00C73E5C"/>
    <w:rsid w:val="00C74398"/>
    <w:rsid w:val="00C76679"/>
    <w:rsid w:val="00C76AD1"/>
    <w:rsid w:val="00C80475"/>
    <w:rsid w:val="00C808A3"/>
    <w:rsid w:val="00C81930"/>
    <w:rsid w:val="00C82CC7"/>
    <w:rsid w:val="00C830B9"/>
    <w:rsid w:val="00C836E3"/>
    <w:rsid w:val="00C836FF"/>
    <w:rsid w:val="00C83AFF"/>
    <w:rsid w:val="00C854DC"/>
    <w:rsid w:val="00C86577"/>
    <w:rsid w:val="00C866FD"/>
    <w:rsid w:val="00C878CC"/>
    <w:rsid w:val="00C90F1F"/>
    <w:rsid w:val="00C9159B"/>
    <w:rsid w:val="00C91C02"/>
    <w:rsid w:val="00C92E07"/>
    <w:rsid w:val="00C96868"/>
    <w:rsid w:val="00C973BF"/>
    <w:rsid w:val="00CA0185"/>
    <w:rsid w:val="00CA0416"/>
    <w:rsid w:val="00CA1B22"/>
    <w:rsid w:val="00CA4A92"/>
    <w:rsid w:val="00CA5734"/>
    <w:rsid w:val="00CA644C"/>
    <w:rsid w:val="00CA6605"/>
    <w:rsid w:val="00CA716B"/>
    <w:rsid w:val="00CA71D8"/>
    <w:rsid w:val="00CA7D1D"/>
    <w:rsid w:val="00CB115C"/>
    <w:rsid w:val="00CB2203"/>
    <w:rsid w:val="00CB638C"/>
    <w:rsid w:val="00CB6DE8"/>
    <w:rsid w:val="00CB7093"/>
    <w:rsid w:val="00CB760D"/>
    <w:rsid w:val="00CC1093"/>
    <w:rsid w:val="00CC2915"/>
    <w:rsid w:val="00CC2E0B"/>
    <w:rsid w:val="00CC3764"/>
    <w:rsid w:val="00CC3A35"/>
    <w:rsid w:val="00CC417B"/>
    <w:rsid w:val="00CC5468"/>
    <w:rsid w:val="00CC560B"/>
    <w:rsid w:val="00CC5695"/>
    <w:rsid w:val="00CC5CFF"/>
    <w:rsid w:val="00CC75E2"/>
    <w:rsid w:val="00CD0AED"/>
    <w:rsid w:val="00CD1AE7"/>
    <w:rsid w:val="00CD46EB"/>
    <w:rsid w:val="00CD4A31"/>
    <w:rsid w:val="00CD53AA"/>
    <w:rsid w:val="00CD5601"/>
    <w:rsid w:val="00CD7EBF"/>
    <w:rsid w:val="00CE09F0"/>
    <w:rsid w:val="00CE1F98"/>
    <w:rsid w:val="00CE29C0"/>
    <w:rsid w:val="00CE59AA"/>
    <w:rsid w:val="00CE604A"/>
    <w:rsid w:val="00CE69C7"/>
    <w:rsid w:val="00CE76E6"/>
    <w:rsid w:val="00CF0E86"/>
    <w:rsid w:val="00CF3D5A"/>
    <w:rsid w:val="00CF55BC"/>
    <w:rsid w:val="00D00DFA"/>
    <w:rsid w:val="00D01CAA"/>
    <w:rsid w:val="00D04048"/>
    <w:rsid w:val="00D04C9E"/>
    <w:rsid w:val="00D056F1"/>
    <w:rsid w:val="00D05DF0"/>
    <w:rsid w:val="00D06616"/>
    <w:rsid w:val="00D1143E"/>
    <w:rsid w:val="00D1208D"/>
    <w:rsid w:val="00D130F6"/>
    <w:rsid w:val="00D144D7"/>
    <w:rsid w:val="00D15A08"/>
    <w:rsid w:val="00D16206"/>
    <w:rsid w:val="00D22D36"/>
    <w:rsid w:val="00D23DB6"/>
    <w:rsid w:val="00D25608"/>
    <w:rsid w:val="00D27E07"/>
    <w:rsid w:val="00D30B74"/>
    <w:rsid w:val="00D30EE2"/>
    <w:rsid w:val="00D30EE6"/>
    <w:rsid w:val="00D335DD"/>
    <w:rsid w:val="00D34ABB"/>
    <w:rsid w:val="00D34FFD"/>
    <w:rsid w:val="00D3653A"/>
    <w:rsid w:val="00D44C05"/>
    <w:rsid w:val="00D47D20"/>
    <w:rsid w:val="00D51A95"/>
    <w:rsid w:val="00D5331F"/>
    <w:rsid w:val="00D537B2"/>
    <w:rsid w:val="00D537B7"/>
    <w:rsid w:val="00D54BD9"/>
    <w:rsid w:val="00D57D2B"/>
    <w:rsid w:val="00D60568"/>
    <w:rsid w:val="00D61858"/>
    <w:rsid w:val="00D61DEE"/>
    <w:rsid w:val="00D6221C"/>
    <w:rsid w:val="00D64006"/>
    <w:rsid w:val="00D6405E"/>
    <w:rsid w:val="00D64B11"/>
    <w:rsid w:val="00D65582"/>
    <w:rsid w:val="00D66365"/>
    <w:rsid w:val="00D664A2"/>
    <w:rsid w:val="00D667F7"/>
    <w:rsid w:val="00D70C7A"/>
    <w:rsid w:val="00D725F5"/>
    <w:rsid w:val="00D72A1A"/>
    <w:rsid w:val="00D72A29"/>
    <w:rsid w:val="00D7451E"/>
    <w:rsid w:val="00D77589"/>
    <w:rsid w:val="00D83390"/>
    <w:rsid w:val="00D834E5"/>
    <w:rsid w:val="00D8355D"/>
    <w:rsid w:val="00D84C45"/>
    <w:rsid w:val="00D865A9"/>
    <w:rsid w:val="00D906AD"/>
    <w:rsid w:val="00D927C4"/>
    <w:rsid w:val="00D94957"/>
    <w:rsid w:val="00D95131"/>
    <w:rsid w:val="00D95B8A"/>
    <w:rsid w:val="00D95C5C"/>
    <w:rsid w:val="00D96C9C"/>
    <w:rsid w:val="00DA0B22"/>
    <w:rsid w:val="00DA1025"/>
    <w:rsid w:val="00DA10A8"/>
    <w:rsid w:val="00DA2803"/>
    <w:rsid w:val="00DA3DF4"/>
    <w:rsid w:val="00DA4206"/>
    <w:rsid w:val="00DA49A1"/>
    <w:rsid w:val="00DB11EF"/>
    <w:rsid w:val="00DB123A"/>
    <w:rsid w:val="00DB1E08"/>
    <w:rsid w:val="00DB234B"/>
    <w:rsid w:val="00DB2973"/>
    <w:rsid w:val="00DB3013"/>
    <w:rsid w:val="00DB3053"/>
    <w:rsid w:val="00DB59D2"/>
    <w:rsid w:val="00DB7677"/>
    <w:rsid w:val="00DC0FBA"/>
    <w:rsid w:val="00DC1B56"/>
    <w:rsid w:val="00DC20CC"/>
    <w:rsid w:val="00DC2129"/>
    <w:rsid w:val="00DC3A59"/>
    <w:rsid w:val="00DC6387"/>
    <w:rsid w:val="00DC6570"/>
    <w:rsid w:val="00DC7691"/>
    <w:rsid w:val="00DC785F"/>
    <w:rsid w:val="00DD265C"/>
    <w:rsid w:val="00DD3703"/>
    <w:rsid w:val="00DD3DD2"/>
    <w:rsid w:val="00DD54AD"/>
    <w:rsid w:val="00DD689C"/>
    <w:rsid w:val="00DE0684"/>
    <w:rsid w:val="00DE16B0"/>
    <w:rsid w:val="00DE1E9B"/>
    <w:rsid w:val="00DE1EF6"/>
    <w:rsid w:val="00DE23E9"/>
    <w:rsid w:val="00DE3651"/>
    <w:rsid w:val="00DE3EF7"/>
    <w:rsid w:val="00DE5528"/>
    <w:rsid w:val="00DE60CC"/>
    <w:rsid w:val="00DF0A24"/>
    <w:rsid w:val="00DF0A68"/>
    <w:rsid w:val="00DF25C3"/>
    <w:rsid w:val="00DF3EB7"/>
    <w:rsid w:val="00DF5AD1"/>
    <w:rsid w:val="00DF5CFF"/>
    <w:rsid w:val="00DF72BB"/>
    <w:rsid w:val="00E01343"/>
    <w:rsid w:val="00E023D0"/>
    <w:rsid w:val="00E0258A"/>
    <w:rsid w:val="00E032FC"/>
    <w:rsid w:val="00E04062"/>
    <w:rsid w:val="00E04992"/>
    <w:rsid w:val="00E049DE"/>
    <w:rsid w:val="00E063C6"/>
    <w:rsid w:val="00E11397"/>
    <w:rsid w:val="00E13DAC"/>
    <w:rsid w:val="00E17459"/>
    <w:rsid w:val="00E2003B"/>
    <w:rsid w:val="00E216F4"/>
    <w:rsid w:val="00E233F4"/>
    <w:rsid w:val="00E244A2"/>
    <w:rsid w:val="00E245E9"/>
    <w:rsid w:val="00E250CD"/>
    <w:rsid w:val="00E25874"/>
    <w:rsid w:val="00E26887"/>
    <w:rsid w:val="00E26BD5"/>
    <w:rsid w:val="00E27856"/>
    <w:rsid w:val="00E279D8"/>
    <w:rsid w:val="00E30092"/>
    <w:rsid w:val="00E3126B"/>
    <w:rsid w:val="00E319B1"/>
    <w:rsid w:val="00E327A6"/>
    <w:rsid w:val="00E3684F"/>
    <w:rsid w:val="00E37027"/>
    <w:rsid w:val="00E42322"/>
    <w:rsid w:val="00E43082"/>
    <w:rsid w:val="00E43204"/>
    <w:rsid w:val="00E447FE"/>
    <w:rsid w:val="00E44867"/>
    <w:rsid w:val="00E47D3B"/>
    <w:rsid w:val="00E52524"/>
    <w:rsid w:val="00E5492F"/>
    <w:rsid w:val="00E572B1"/>
    <w:rsid w:val="00E60080"/>
    <w:rsid w:val="00E60546"/>
    <w:rsid w:val="00E60AE7"/>
    <w:rsid w:val="00E61593"/>
    <w:rsid w:val="00E6369A"/>
    <w:rsid w:val="00E63D60"/>
    <w:rsid w:val="00E65863"/>
    <w:rsid w:val="00E67337"/>
    <w:rsid w:val="00E67C5C"/>
    <w:rsid w:val="00E67D3B"/>
    <w:rsid w:val="00E70A86"/>
    <w:rsid w:val="00E73E50"/>
    <w:rsid w:val="00E74FAB"/>
    <w:rsid w:val="00E7570F"/>
    <w:rsid w:val="00E766A0"/>
    <w:rsid w:val="00E76A77"/>
    <w:rsid w:val="00E76BF1"/>
    <w:rsid w:val="00E777EC"/>
    <w:rsid w:val="00E80FCD"/>
    <w:rsid w:val="00E8190C"/>
    <w:rsid w:val="00E82F9E"/>
    <w:rsid w:val="00E85FFE"/>
    <w:rsid w:val="00E86162"/>
    <w:rsid w:val="00E86923"/>
    <w:rsid w:val="00E90051"/>
    <w:rsid w:val="00E907D6"/>
    <w:rsid w:val="00E92E6F"/>
    <w:rsid w:val="00E94178"/>
    <w:rsid w:val="00E951BC"/>
    <w:rsid w:val="00E97532"/>
    <w:rsid w:val="00EA2226"/>
    <w:rsid w:val="00EA2333"/>
    <w:rsid w:val="00EA296C"/>
    <w:rsid w:val="00EA468F"/>
    <w:rsid w:val="00EA4977"/>
    <w:rsid w:val="00EA7DB0"/>
    <w:rsid w:val="00EA7F2F"/>
    <w:rsid w:val="00EB13A6"/>
    <w:rsid w:val="00EB146C"/>
    <w:rsid w:val="00EB1F85"/>
    <w:rsid w:val="00EB2DB5"/>
    <w:rsid w:val="00EB30ED"/>
    <w:rsid w:val="00EB576F"/>
    <w:rsid w:val="00EB6590"/>
    <w:rsid w:val="00EC00DE"/>
    <w:rsid w:val="00EC0BF2"/>
    <w:rsid w:val="00EC14FD"/>
    <w:rsid w:val="00EC2192"/>
    <w:rsid w:val="00EC21DF"/>
    <w:rsid w:val="00EC30E1"/>
    <w:rsid w:val="00EC3436"/>
    <w:rsid w:val="00EC3B70"/>
    <w:rsid w:val="00EC4C0E"/>
    <w:rsid w:val="00EC66BB"/>
    <w:rsid w:val="00EC712E"/>
    <w:rsid w:val="00EC791B"/>
    <w:rsid w:val="00ED0411"/>
    <w:rsid w:val="00ED0809"/>
    <w:rsid w:val="00ED09AE"/>
    <w:rsid w:val="00ED172A"/>
    <w:rsid w:val="00ED3AFD"/>
    <w:rsid w:val="00ED4024"/>
    <w:rsid w:val="00ED5BBA"/>
    <w:rsid w:val="00EE01DC"/>
    <w:rsid w:val="00EE1A04"/>
    <w:rsid w:val="00EE5140"/>
    <w:rsid w:val="00EE7FFC"/>
    <w:rsid w:val="00EF1F52"/>
    <w:rsid w:val="00EF44C6"/>
    <w:rsid w:val="00EF4702"/>
    <w:rsid w:val="00EF521D"/>
    <w:rsid w:val="00EF6DDB"/>
    <w:rsid w:val="00EF6EF9"/>
    <w:rsid w:val="00F00F08"/>
    <w:rsid w:val="00F03875"/>
    <w:rsid w:val="00F048BD"/>
    <w:rsid w:val="00F05377"/>
    <w:rsid w:val="00F07E7C"/>
    <w:rsid w:val="00F101F5"/>
    <w:rsid w:val="00F10B90"/>
    <w:rsid w:val="00F11CCD"/>
    <w:rsid w:val="00F14AB3"/>
    <w:rsid w:val="00F14BEC"/>
    <w:rsid w:val="00F15229"/>
    <w:rsid w:val="00F2082C"/>
    <w:rsid w:val="00F21826"/>
    <w:rsid w:val="00F224B7"/>
    <w:rsid w:val="00F225C5"/>
    <w:rsid w:val="00F22D98"/>
    <w:rsid w:val="00F23A76"/>
    <w:rsid w:val="00F2587A"/>
    <w:rsid w:val="00F2652C"/>
    <w:rsid w:val="00F271E8"/>
    <w:rsid w:val="00F31A80"/>
    <w:rsid w:val="00F31CD2"/>
    <w:rsid w:val="00F33470"/>
    <w:rsid w:val="00F34E02"/>
    <w:rsid w:val="00F357A0"/>
    <w:rsid w:val="00F35806"/>
    <w:rsid w:val="00F3715D"/>
    <w:rsid w:val="00F37A10"/>
    <w:rsid w:val="00F37A56"/>
    <w:rsid w:val="00F40244"/>
    <w:rsid w:val="00F420C8"/>
    <w:rsid w:val="00F42A4C"/>
    <w:rsid w:val="00F43B82"/>
    <w:rsid w:val="00F442FD"/>
    <w:rsid w:val="00F446B1"/>
    <w:rsid w:val="00F44B22"/>
    <w:rsid w:val="00F46899"/>
    <w:rsid w:val="00F46CD8"/>
    <w:rsid w:val="00F50DDC"/>
    <w:rsid w:val="00F511CA"/>
    <w:rsid w:val="00F51C2F"/>
    <w:rsid w:val="00F526BD"/>
    <w:rsid w:val="00F53BB2"/>
    <w:rsid w:val="00F572ED"/>
    <w:rsid w:val="00F60484"/>
    <w:rsid w:val="00F610D2"/>
    <w:rsid w:val="00F634A1"/>
    <w:rsid w:val="00F647AE"/>
    <w:rsid w:val="00F667E1"/>
    <w:rsid w:val="00F7087F"/>
    <w:rsid w:val="00F7097A"/>
    <w:rsid w:val="00F70CF3"/>
    <w:rsid w:val="00F71577"/>
    <w:rsid w:val="00F7420C"/>
    <w:rsid w:val="00F7515E"/>
    <w:rsid w:val="00F753BC"/>
    <w:rsid w:val="00F8314C"/>
    <w:rsid w:val="00F83CCB"/>
    <w:rsid w:val="00F83FED"/>
    <w:rsid w:val="00F861DD"/>
    <w:rsid w:val="00F86ED3"/>
    <w:rsid w:val="00F87A36"/>
    <w:rsid w:val="00F94C4C"/>
    <w:rsid w:val="00F9618E"/>
    <w:rsid w:val="00FA2B5C"/>
    <w:rsid w:val="00FA2CD2"/>
    <w:rsid w:val="00FA49A7"/>
    <w:rsid w:val="00FA64E4"/>
    <w:rsid w:val="00FA67C3"/>
    <w:rsid w:val="00FB5D14"/>
    <w:rsid w:val="00FB70A4"/>
    <w:rsid w:val="00FB7512"/>
    <w:rsid w:val="00FC1283"/>
    <w:rsid w:val="00FC1807"/>
    <w:rsid w:val="00FC21D1"/>
    <w:rsid w:val="00FC3378"/>
    <w:rsid w:val="00FC3CB5"/>
    <w:rsid w:val="00FC4F3C"/>
    <w:rsid w:val="00FD0F9E"/>
    <w:rsid w:val="00FD4F14"/>
    <w:rsid w:val="00FD7547"/>
    <w:rsid w:val="00FE0F68"/>
    <w:rsid w:val="00FE1732"/>
    <w:rsid w:val="00FE287B"/>
    <w:rsid w:val="00FE6B50"/>
    <w:rsid w:val="00FE6E16"/>
    <w:rsid w:val="00FE7B4F"/>
    <w:rsid w:val="00FF1B03"/>
    <w:rsid w:val="00FF2025"/>
    <w:rsid w:val="00FF33A4"/>
    <w:rsid w:val="00FF3E26"/>
    <w:rsid w:val="00FF5369"/>
    <w:rsid w:val="00FF563A"/>
    <w:rsid w:val="00FF5F5C"/>
    <w:rsid w:val="00FF5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0AA16B"/>
  <w15:docId w15:val="{C6D95F0E-4934-4C46-82E9-893AD2EE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9D74A1"/>
    <w:pPr>
      <w:tabs>
        <w:tab w:val="left" w:pos="1134"/>
        <w:tab w:val="right" w:leader="dot" w:pos="9060"/>
      </w:tabs>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uiPriority w:val="5"/>
    <w:qFormat/>
    <w:rsid w:val="00A318EB"/>
    <w:rPr>
      <w:sz w:val="20"/>
      <w:szCs w:val="20"/>
    </w:rPr>
  </w:style>
  <w:style w:type="character" w:styleId="FootnoteReference">
    <w:name w:val="footnote reference"/>
    <w:basedOn w:val="DefaultParagraphFont"/>
    <w:uiPriority w:val="99"/>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2"/>
      </w:numPr>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uiPriority w:val="6"/>
    <w:qFormat/>
    <w:rsid w:val="00DD265C"/>
    <w:pPr>
      <w:widowControl/>
      <w:numPr>
        <w:numId w:val="3"/>
      </w:numPr>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uiPriority w:val="5"/>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customStyle="1" w:styleId="FSBullet">
    <w:name w:val="FS Bullet"/>
    <w:basedOn w:val="Normal"/>
    <w:next w:val="Normal"/>
    <w:link w:val="FSBulletChar"/>
    <w:qFormat/>
    <w:rsid w:val="00F647AE"/>
    <w:pPr>
      <w:ind w:left="720" w:hanging="360"/>
    </w:pPr>
    <w:rPr>
      <w:rFonts w:cs="Arial"/>
    </w:rPr>
  </w:style>
  <w:style w:type="character" w:customStyle="1" w:styleId="FSBulletChar">
    <w:name w:val="FS Bullet Char"/>
    <w:basedOn w:val="DefaultParagraphFont"/>
    <w:link w:val="FSBullet"/>
    <w:rsid w:val="00F647AE"/>
    <w:rPr>
      <w:rFonts w:ascii="Arial" w:hAnsi="Arial" w:cs="Arial"/>
      <w:sz w:val="22"/>
      <w:szCs w:val="24"/>
      <w:lang w:eastAsia="en-US" w:bidi="en-US"/>
    </w:rPr>
  </w:style>
  <w:style w:type="paragraph" w:styleId="ListParagraph">
    <w:name w:val="List Paragraph"/>
    <w:aliases w:val="Bullets,CV text,Dot pt,F5 List Paragraph,FooterText,L,List Paragraph1,List Paragraph11,List Paragraph111,List Paragraph2,Medium Grid 1 - Accent 21,NAST Quote,NFP GP Bulleted List,Numbered Paragraph,Table text,列,Bullet point,Recommendation"/>
    <w:basedOn w:val="Normal"/>
    <w:link w:val="ListParagraphChar"/>
    <w:uiPriority w:val="34"/>
    <w:qFormat/>
    <w:rsid w:val="0051604D"/>
    <w:pPr>
      <w:ind w:left="720"/>
      <w:contextualSpacing/>
    </w:pPr>
  </w:style>
  <w:style w:type="character" w:customStyle="1" w:styleId="ListParagraphChar">
    <w:name w:val="List Paragraph Char"/>
    <w:aliases w:val="Bullets Char,CV text Char,Dot pt Char,F5 List Paragraph Char,FooterText Char,L Char,List Paragraph1 Char,List Paragraph11 Char,List Paragraph111 Char,List Paragraph2 Char,Medium Grid 1 - Accent 21 Char,NAST Quote Char,Table text Char"/>
    <w:link w:val="ListParagraph"/>
    <w:uiPriority w:val="34"/>
    <w:qFormat/>
    <w:rsid w:val="0051604D"/>
    <w:rPr>
      <w:rFonts w:ascii="Arial" w:hAnsi="Arial"/>
      <w:sz w:val="22"/>
      <w:szCs w:val="24"/>
      <w:lang w:eastAsia="en-US" w:bidi="en-US"/>
    </w:rPr>
  </w:style>
  <w:style w:type="paragraph" w:customStyle="1" w:styleId="FSTableColumnRowheading">
    <w:name w:val="FSTable Column/Row heading"/>
    <w:basedOn w:val="Normal"/>
    <w:uiPriority w:val="8"/>
    <w:qFormat/>
    <w:locked/>
    <w:rsid w:val="00CD4A31"/>
    <w:pPr>
      <w:widowControl/>
      <w:spacing w:before="120" w:after="120"/>
    </w:pPr>
    <w:rPr>
      <w:rFonts w:eastAsiaTheme="minorHAnsi" w:cstheme="minorBidi"/>
      <w:b/>
      <w:sz w:val="20"/>
      <w:szCs w:val="20"/>
      <w:lang w:bidi="ar-SA"/>
    </w:rPr>
  </w:style>
  <w:style w:type="paragraph" w:customStyle="1" w:styleId="Subclause">
    <w:name w:val="Subclause"/>
    <w:basedOn w:val="Normal"/>
    <w:link w:val="SubclauseChar"/>
    <w:qFormat/>
    <w:rsid w:val="00CD4A31"/>
    <w:pPr>
      <w:widowControl/>
      <w:tabs>
        <w:tab w:val="left" w:pos="851"/>
      </w:tabs>
      <w:ind w:left="567" w:hanging="567"/>
    </w:pPr>
    <w:rPr>
      <w:sz w:val="20"/>
      <w:szCs w:val="20"/>
      <w:lang w:bidi="ar-SA"/>
    </w:rPr>
  </w:style>
  <w:style w:type="paragraph" w:customStyle="1" w:styleId="doc-ti">
    <w:name w:val="doc-ti"/>
    <w:basedOn w:val="Normal"/>
    <w:rsid w:val="000A5427"/>
    <w:pPr>
      <w:widowControl/>
      <w:spacing w:before="240" w:after="120"/>
      <w:jc w:val="center"/>
    </w:pPr>
    <w:rPr>
      <w:rFonts w:ascii="Times New Roman" w:hAnsi="Times New Roman"/>
      <w:b/>
      <w:bCs/>
      <w:sz w:val="24"/>
      <w:lang w:eastAsia="en-GB" w:bidi="ar-SA"/>
    </w:rPr>
  </w:style>
  <w:style w:type="character" w:customStyle="1" w:styleId="highwire-cite-article-as">
    <w:name w:val="highwire-cite-article-as"/>
    <w:basedOn w:val="DefaultParagraphFont"/>
    <w:rsid w:val="000A5427"/>
  </w:style>
  <w:style w:type="character" w:customStyle="1" w:styleId="italic">
    <w:name w:val="italic"/>
    <w:basedOn w:val="DefaultParagraphFont"/>
    <w:rsid w:val="000A5427"/>
  </w:style>
  <w:style w:type="paragraph" w:customStyle="1" w:styleId="FSDecisiontext">
    <w:name w:val="FS Decision text"/>
    <w:basedOn w:val="Normal"/>
    <w:qFormat/>
    <w:rsid w:val="00E0258A"/>
    <w:pPr>
      <w:pBdr>
        <w:top w:val="single" w:sz="4" w:space="1" w:color="auto"/>
        <w:left w:val="single" w:sz="4" w:space="4" w:color="auto"/>
        <w:bottom w:val="single" w:sz="4" w:space="1" w:color="auto"/>
        <w:right w:val="single" w:sz="4" w:space="4" w:color="auto"/>
      </w:pBdr>
    </w:pPr>
  </w:style>
  <w:style w:type="paragraph" w:customStyle="1" w:styleId="Clause">
    <w:name w:val="Clause"/>
    <w:basedOn w:val="Normal"/>
    <w:next w:val="Normal"/>
    <w:link w:val="ClauseChar"/>
    <w:qFormat/>
    <w:rsid w:val="0002640D"/>
    <w:pPr>
      <w:tabs>
        <w:tab w:val="left" w:pos="851"/>
      </w:tabs>
    </w:pPr>
    <w:rPr>
      <w:sz w:val="20"/>
      <w:szCs w:val="20"/>
    </w:rPr>
  </w:style>
  <w:style w:type="paragraph" w:customStyle="1" w:styleId="Clauseheading">
    <w:name w:val="Clause heading"/>
    <w:basedOn w:val="Normal"/>
    <w:next w:val="Normal"/>
    <w:qFormat/>
    <w:rsid w:val="0002640D"/>
    <w:pPr>
      <w:tabs>
        <w:tab w:val="left" w:pos="851"/>
      </w:tabs>
    </w:pPr>
    <w:rPr>
      <w:b/>
      <w:sz w:val="20"/>
      <w:szCs w:val="20"/>
    </w:rPr>
  </w:style>
  <w:style w:type="paragraph" w:customStyle="1" w:styleId="Definition">
    <w:name w:val="Definition"/>
    <w:basedOn w:val="Normal"/>
    <w:next w:val="Normal"/>
    <w:link w:val="DefinitionChar"/>
    <w:rsid w:val="0002640D"/>
    <w:pPr>
      <w:ind w:left="1701" w:hanging="851"/>
    </w:pPr>
    <w:rPr>
      <w:sz w:val="20"/>
      <w:szCs w:val="20"/>
    </w:rPr>
  </w:style>
  <w:style w:type="paragraph" w:customStyle="1" w:styleId="DivisionHeading">
    <w:name w:val="Division Heading"/>
    <w:basedOn w:val="Normal"/>
    <w:next w:val="Normal"/>
    <w:rsid w:val="0002640D"/>
    <w:pPr>
      <w:tabs>
        <w:tab w:val="left" w:pos="851"/>
      </w:tabs>
      <w:jc w:val="center"/>
    </w:pPr>
    <w:rPr>
      <w:b/>
      <w:sz w:val="26"/>
      <w:szCs w:val="20"/>
    </w:rPr>
  </w:style>
  <w:style w:type="paragraph" w:customStyle="1" w:styleId="EditorialNoteLine1">
    <w:name w:val="Editorial Note Line 1"/>
    <w:basedOn w:val="Normal"/>
    <w:next w:val="Normal"/>
    <w:rsid w:val="0002640D"/>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02640D"/>
    <w:rPr>
      <w:b w:val="0"/>
    </w:rPr>
  </w:style>
  <w:style w:type="paragraph" w:customStyle="1" w:styleId="Paragraph">
    <w:name w:val="Paragraph"/>
    <w:basedOn w:val="Clause"/>
    <w:next w:val="Normal"/>
    <w:link w:val="ParagraphChar"/>
    <w:rsid w:val="0002640D"/>
    <w:pPr>
      <w:tabs>
        <w:tab w:val="clear" w:pos="851"/>
      </w:tabs>
      <w:ind w:left="1702" w:hanging="851"/>
    </w:pPr>
  </w:style>
  <w:style w:type="paragraph" w:customStyle="1" w:styleId="ScheduleHeading">
    <w:name w:val="Schedule Heading"/>
    <w:basedOn w:val="Normal"/>
    <w:next w:val="Normal"/>
    <w:rsid w:val="0002640D"/>
    <w:pPr>
      <w:tabs>
        <w:tab w:val="left" w:pos="851"/>
      </w:tabs>
      <w:jc w:val="center"/>
    </w:pPr>
    <w:rPr>
      <w:b/>
      <w:caps/>
      <w:sz w:val="20"/>
      <w:szCs w:val="20"/>
    </w:rPr>
  </w:style>
  <w:style w:type="paragraph" w:customStyle="1" w:styleId="Subparagraph">
    <w:name w:val="Subparagraph"/>
    <w:basedOn w:val="Paragraph"/>
    <w:next w:val="Normal"/>
    <w:link w:val="SubparagraphChar"/>
    <w:qFormat/>
    <w:rsid w:val="0002640D"/>
    <w:pPr>
      <w:ind w:left="2553"/>
    </w:pPr>
  </w:style>
  <w:style w:type="character" w:customStyle="1" w:styleId="DefinitionChar">
    <w:name w:val="Definition Char"/>
    <w:basedOn w:val="DefaultParagraphFont"/>
    <w:link w:val="Definition"/>
    <w:rsid w:val="0002640D"/>
    <w:rPr>
      <w:rFonts w:ascii="Arial" w:hAnsi="Arial"/>
      <w:lang w:eastAsia="en-US" w:bidi="en-US"/>
    </w:rPr>
  </w:style>
  <w:style w:type="character" w:customStyle="1" w:styleId="ClauseChar">
    <w:name w:val="Clause Char"/>
    <w:basedOn w:val="DefaultParagraphFont"/>
    <w:link w:val="Clause"/>
    <w:rsid w:val="0002640D"/>
    <w:rPr>
      <w:rFonts w:ascii="Arial" w:hAnsi="Arial"/>
      <w:lang w:eastAsia="en-US" w:bidi="en-US"/>
    </w:rPr>
  </w:style>
  <w:style w:type="character" w:customStyle="1" w:styleId="SubparagraphChar">
    <w:name w:val="Subparagraph Char"/>
    <w:basedOn w:val="DefaultParagraphFont"/>
    <w:link w:val="Subparagraph"/>
    <w:rsid w:val="0002640D"/>
    <w:rPr>
      <w:rFonts w:ascii="Arial" w:hAnsi="Arial"/>
      <w:lang w:eastAsia="en-US" w:bidi="en-US"/>
    </w:rPr>
  </w:style>
  <w:style w:type="character" w:customStyle="1" w:styleId="ParagraphChar">
    <w:name w:val="Paragraph Char"/>
    <w:basedOn w:val="ClauseChar"/>
    <w:link w:val="Paragraph"/>
    <w:rsid w:val="0002640D"/>
    <w:rPr>
      <w:rFonts w:ascii="Arial" w:hAnsi="Arial"/>
      <w:lang w:eastAsia="en-US" w:bidi="en-US"/>
    </w:rPr>
  </w:style>
  <w:style w:type="character" w:customStyle="1" w:styleId="SubclauseChar">
    <w:name w:val="Subclause Char"/>
    <w:basedOn w:val="ClauseChar"/>
    <w:link w:val="Subclause"/>
    <w:rsid w:val="0002640D"/>
    <w:rPr>
      <w:rFonts w:ascii="Arial" w:hAnsi="Arial"/>
      <w:lang w:eastAsia="en-US" w:bidi="en-US"/>
    </w:rPr>
  </w:style>
  <w:style w:type="paragraph" w:customStyle="1" w:styleId="131Subitemheading">
    <w:name w:val="1.3.1 Subitem heading"/>
    <w:basedOn w:val="Normal"/>
    <w:next w:val="Table2"/>
    <w:qFormat/>
    <w:rsid w:val="0002640D"/>
    <w:pPr>
      <w:keepNext/>
      <w:widowControl/>
      <w:tabs>
        <w:tab w:val="left" w:pos="851"/>
      </w:tabs>
      <w:spacing w:after="120"/>
    </w:pPr>
    <w:rPr>
      <w:b/>
      <w:sz w:val="18"/>
      <w:szCs w:val="20"/>
      <w:lang w:bidi="ar-SA"/>
    </w:rPr>
  </w:style>
  <w:style w:type="paragraph" w:customStyle="1" w:styleId="Centeredheadings">
    <w:name w:val="Centered headings"/>
    <w:basedOn w:val="Normal"/>
    <w:rsid w:val="0002640D"/>
    <w:pPr>
      <w:tabs>
        <w:tab w:val="left" w:pos="680"/>
        <w:tab w:val="left" w:pos="851"/>
        <w:tab w:val="left" w:pos="1240"/>
        <w:tab w:val="left" w:pos="1880"/>
        <w:tab w:val="left" w:pos="7776"/>
      </w:tabs>
      <w:spacing w:line="240" w:lineRule="atLeast"/>
      <w:jc w:val="center"/>
    </w:pPr>
    <w:rPr>
      <w:b/>
      <w:sz w:val="20"/>
      <w:szCs w:val="20"/>
      <w:lang w:bidi="ar-SA"/>
    </w:rPr>
  </w:style>
  <w:style w:type="paragraph" w:customStyle="1" w:styleId="HeaderEPHFF-2052022-10228PM">
    <w:name w:val="HeaderEPHFF-2052022-10228 PM"/>
    <w:rsid w:val="00822302"/>
    <w:pPr>
      <w:widowControl w:val="0"/>
    </w:pPr>
    <w:rPr>
      <w:rFonts w:ascii="Arial" w:hAnsi="Arial"/>
      <w:sz w:val="22"/>
      <w:szCs w:val="24"/>
      <w:lang w:eastAsia="en-US" w:bidi="en-US"/>
    </w:rPr>
  </w:style>
  <w:style w:type="paragraph" w:customStyle="1" w:styleId="FooterFPHFF-9052022-21048PM">
    <w:name w:val="FooterFPHFF-9052022-21048 PM"/>
    <w:rsid w:val="00EF521D"/>
    <w:pPr>
      <w:widowControl w:val="0"/>
    </w:pPr>
    <w:rPr>
      <w:rFonts w:ascii="Arial" w:hAnsi="Arial"/>
      <w:sz w:val="22"/>
      <w:szCs w:val="24"/>
      <w:lang w:eastAsia="en-US" w:bidi="en-US"/>
    </w:rPr>
  </w:style>
  <w:style w:type="paragraph" w:customStyle="1" w:styleId="FooterFPHFF-24052022-111655AM">
    <w:name w:val="FooterFPHFF-24052022-111655 AM"/>
    <w:rsid w:val="00DC785F"/>
    <w:pPr>
      <w:tabs>
        <w:tab w:val="left" w:pos="567"/>
      </w:tabs>
    </w:pPr>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363797861">
      <w:bodyDiv w:val="1"/>
      <w:marLeft w:val="0"/>
      <w:marRight w:val="0"/>
      <w:marTop w:val="0"/>
      <w:marBottom w:val="0"/>
      <w:divBdr>
        <w:top w:val="none" w:sz="0" w:space="0" w:color="auto"/>
        <w:left w:val="none" w:sz="0" w:space="0" w:color="auto"/>
        <w:bottom w:val="none" w:sz="0" w:space="0" w:color="auto"/>
        <w:right w:val="none" w:sz="0" w:space="0" w:color="auto"/>
      </w:divBdr>
    </w:div>
    <w:div w:id="431436729">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592787589">
      <w:bodyDiv w:val="1"/>
      <w:marLeft w:val="0"/>
      <w:marRight w:val="0"/>
      <w:marTop w:val="0"/>
      <w:marBottom w:val="0"/>
      <w:divBdr>
        <w:top w:val="none" w:sz="0" w:space="0" w:color="auto"/>
        <w:left w:val="none" w:sz="0" w:space="0" w:color="auto"/>
        <w:bottom w:val="none" w:sz="0" w:space="0" w:color="auto"/>
        <w:right w:val="none" w:sz="0" w:space="0" w:color="auto"/>
      </w:divBdr>
    </w:div>
    <w:div w:id="654990063">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406223727">
      <w:bodyDiv w:val="1"/>
      <w:marLeft w:val="0"/>
      <w:marRight w:val="0"/>
      <w:marTop w:val="0"/>
      <w:marBottom w:val="0"/>
      <w:divBdr>
        <w:top w:val="none" w:sz="0" w:space="0" w:color="auto"/>
        <w:left w:val="none" w:sz="0" w:space="0" w:color="auto"/>
        <w:bottom w:val="none" w:sz="0" w:space="0" w:color="auto"/>
        <w:right w:val="none" w:sz="0" w:space="0" w:color="auto"/>
      </w:divBdr>
    </w:div>
    <w:div w:id="1409645596">
      <w:bodyDiv w:val="1"/>
      <w:marLeft w:val="0"/>
      <w:marRight w:val="0"/>
      <w:marTop w:val="0"/>
      <w:marBottom w:val="0"/>
      <w:divBdr>
        <w:top w:val="none" w:sz="0" w:space="0" w:color="auto"/>
        <w:left w:val="none" w:sz="0" w:space="0" w:color="auto"/>
        <w:bottom w:val="none" w:sz="0" w:space="0" w:color="auto"/>
        <w:right w:val="none" w:sz="0" w:space="0" w:color="auto"/>
      </w:divBdr>
    </w:div>
    <w:div w:id="1435785232">
      <w:bodyDiv w:val="1"/>
      <w:marLeft w:val="0"/>
      <w:marRight w:val="0"/>
      <w:marTop w:val="0"/>
      <w:marBottom w:val="0"/>
      <w:divBdr>
        <w:top w:val="none" w:sz="0" w:space="0" w:color="auto"/>
        <w:left w:val="none" w:sz="0" w:space="0" w:color="auto"/>
        <w:bottom w:val="none" w:sz="0" w:space="0" w:color="auto"/>
        <w:right w:val="none" w:sz="0" w:space="0" w:color="auto"/>
      </w:divBdr>
    </w:div>
    <w:div w:id="1503548822">
      <w:bodyDiv w:val="1"/>
      <w:marLeft w:val="0"/>
      <w:marRight w:val="0"/>
      <w:marTop w:val="0"/>
      <w:marBottom w:val="0"/>
      <w:divBdr>
        <w:top w:val="none" w:sz="0" w:space="0" w:color="auto"/>
        <w:left w:val="none" w:sz="0" w:space="0" w:color="auto"/>
        <w:bottom w:val="none" w:sz="0" w:space="0" w:color="auto"/>
        <w:right w:val="none" w:sz="0" w:space="0" w:color="auto"/>
      </w:divBdr>
    </w:div>
    <w:div w:id="1525897040">
      <w:bodyDiv w:val="1"/>
      <w:marLeft w:val="0"/>
      <w:marRight w:val="0"/>
      <w:marTop w:val="0"/>
      <w:marBottom w:val="0"/>
      <w:divBdr>
        <w:top w:val="none" w:sz="0" w:space="0" w:color="auto"/>
        <w:left w:val="none" w:sz="0" w:space="0" w:color="auto"/>
        <w:bottom w:val="none" w:sz="0" w:space="0" w:color="auto"/>
        <w:right w:val="none" w:sz="0" w:space="0" w:color="auto"/>
      </w:divBdr>
    </w:div>
    <w:div w:id="1585989763">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761443812">
      <w:bodyDiv w:val="1"/>
      <w:marLeft w:val="0"/>
      <w:marRight w:val="0"/>
      <w:marTop w:val="0"/>
      <w:marBottom w:val="0"/>
      <w:divBdr>
        <w:top w:val="none" w:sz="0" w:space="0" w:color="auto"/>
        <w:left w:val="none" w:sz="0" w:space="0" w:color="auto"/>
        <w:bottom w:val="none" w:sz="0" w:space="0" w:color="auto"/>
        <w:right w:val="none" w:sz="0" w:space="0" w:color="auto"/>
      </w:divBdr>
    </w:div>
    <w:div w:id="1772579626">
      <w:bodyDiv w:val="1"/>
      <w:marLeft w:val="0"/>
      <w:marRight w:val="0"/>
      <w:marTop w:val="0"/>
      <w:marBottom w:val="0"/>
      <w:divBdr>
        <w:top w:val="none" w:sz="0" w:space="0" w:color="auto"/>
        <w:left w:val="none" w:sz="0" w:space="0" w:color="auto"/>
        <w:bottom w:val="none" w:sz="0" w:space="0" w:color="auto"/>
        <w:right w:val="none" w:sz="0" w:space="0" w:color="auto"/>
      </w:divBdr>
    </w:div>
    <w:div w:id="2078699647">
      <w:bodyDiv w:val="1"/>
      <w:marLeft w:val="0"/>
      <w:marRight w:val="0"/>
      <w:marTop w:val="0"/>
      <w:marBottom w:val="0"/>
      <w:divBdr>
        <w:top w:val="none" w:sz="0" w:space="0" w:color="auto"/>
        <w:left w:val="none" w:sz="0" w:space="0" w:color="auto"/>
        <w:bottom w:val="none" w:sz="0" w:space="0" w:color="auto"/>
        <w:right w:val="none" w:sz="0" w:space="0" w:color="auto"/>
      </w:divBdr>
    </w:div>
    <w:div w:id="2098283823">
      <w:bodyDiv w:val="1"/>
      <w:marLeft w:val="0"/>
      <w:marRight w:val="0"/>
      <w:marTop w:val="0"/>
      <w:marBottom w:val="0"/>
      <w:divBdr>
        <w:top w:val="none" w:sz="0" w:space="0" w:color="auto"/>
        <w:left w:val="none" w:sz="0" w:space="0" w:color="auto"/>
        <w:bottom w:val="none" w:sz="0" w:space="0" w:color="auto"/>
        <w:right w:val="none" w:sz="0" w:space="0" w:color="auto"/>
      </w:divBdr>
    </w:div>
    <w:div w:id="213138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legislation.gov.a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hyperlink" Target="https://www.foodstandards.gov.au/code/proposals/Pages/P1030CompositionandlabellingofElectrolyteDrinks.aspx" TargetMode="External"/><Relationship Id="rId22" Type="http://schemas.openxmlformats.org/officeDocument/2006/relationships/fontTable" Target="fontTable.xml"/><Relationship Id="rId9" Type="http://schemas.openxmlformats.org/officeDocument/2006/relationships/numbering" Target="numbering.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www.puntofocal.gov.ar/notific_otros_miembros/eu723_t.pdf" TargetMode="External"/><Relationship Id="rId3" Type="http://schemas.openxmlformats.org/officeDocument/2006/relationships/hyperlink" Target="http://onlinelibrary.wiley.com/doi/10.2903/sp.efsa.2015.EN-871/epdf" TargetMode="External"/><Relationship Id="rId7" Type="http://schemas.openxmlformats.org/officeDocument/2006/relationships/hyperlink" Target="https://eur-lex.europa.eu/legal-content/EN/TXT/HTML/?uri=CELEX:32012R0432&amp;from=EN" TargetMode="External"/><Relationship Id="rId2" Type="http://schemas.openxmlformats.org/officeDocument/2006/relationships/hyperlink" Target="https://www.foodstandards.gov.au/code/proposals/Pages/P1010.aspx" TargetMode="External"/><Relationship Id="rId1" Type="http://schemas.openxmlformats.org/officeDocument/2006/relationships/hyperlink" Target="https://foodregulation.gov.au/internet/fr/publishing.nsf/Content/sport-sup-action-plan" TargetMode="External"/><Relationship Id="rId6" Type="http://schemas.openxmlformats.org/officeDocument/2006/relationships/hyperlink" Target="https://efsa.onlinelibrary.wiley.com/doi/pdf/10.2903/j.efsa.2011.2211" TargetMode="External"/><Relationship Id="rId5" Type="http://schemas.openxmlformats.org/officeDocument/2006/relationships/hyperlink" Target="https://foodregulation.gov.au/internet/fr/publishing.nsf/Content/publication-Policy-Guideline-on-Nutrition-Health-and-Related-Claims" TargetMode="External"/><Relationship Id="rId4" Type="http://schemas.openxmlformats.org/officeDocument/2006/relationships/hyperlink" Target="https://www.foodstandards.gov.au/industry/labelling/Pages/Outcomes-from-consideration-of-European-Union-authorised-health-clai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 xsi:nil="true"/>
    <TaxCatchAll xmlns="0e0bee33-077a-46d4-80d5-abd1b3a3b85b">
      <Value>1</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pb940a55b18746cdbb1d76ca362c0586>
    <jf6c16bbf41b473ebe1e583d28d77907 xmlns="0e0bee33-077a-46d4-80d5-abd1b3a3b85b">
      <Terms xmlns="http://schemas.microsoft.com/office/infopath/2007/PartnerControls"/>
    </jf6c16bbf41b473ebe1e583d28d77907>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420C4-FA40-4ECC-BB17-CCA28A372B0F}"/>
</file>

<file path=customXml/itemProps2.xml><?xml version="1.0" encoding="utf-8"?>
<ds:datastoreItem xmlns:ds="http://schemas.openxmlformats.org/officeDocument/2006/customXml" ds:itemID="{442B1DFE-C581-4F23-9031-3A761527B8B8}"/>
</file>

<file path=customXml/itemProps3.xml><?xml version="1.0" encoding="utf-8"?>
<ds:datastoreItem xmlns:ds="http://schemas.openxmlformats.org/officeDocument/2006/customXml" ds:itemID="{0FEFB591-D2F2-4297-B6A3-79F42151EB44}"/>
</file>

<file path=customXml/itemProps4.xml><?xml version="1.0" encoding="utf-8"?>
<ds:datastoreItem xmlns:ds="http://schemas.openxmlformats.org/officeDocument/2006/customXml" ds:itemID="{22CD85C8-F4F5-48C5-B449-3EF498F6089A}">
  <ds:schemaRefs>
    <ds:schemaRef ds:uri="Microsoft.SharePoint.Taxonomy.ContentTypeSync"/>
  </ds:schemaRefs>
</ds:datastoreItem>
</file>

<file path=customXml/itemProps5.xml><?xml version="1.0" encoding="utf-8"?>
<ds:datastoreItem xmlns:ds="http://schemas.openxmlformats.org/officeDocument/2006/customXml" ds:itemID="{442B1DFE-C581-4F23-9031-3A761527B8B8}">
  <ds:schemaRefs>
    <ds:schemaRef ds:uri="http://schemas.microsoft.com/office/2006/metadata/properties"/>
    <ds:schemaRef ds:uri="http://schemas.microsoft.com/office/infopath/2007/PartnerControls"/>
    <ds:schemaRef ds:uri="ec50576e-4a27-4780-a1e1-e59563bc70b8"/>
    <ds:schemaRef ds:uri="5759555f-5bed-45a4-a4c2-4e28e2623455"/>
  </ds:schemaRefs>
</ds:datastoreItem>
</file>

<file path=customXml/itemProps6.xml><?xml version="1.0" encoding="utf-8"?>
<ds:datastoreItem xmlns:ds="http://schemas.openxmlformats.org/officeDocument/2006/customXml" ds:itemID="{725FEF0B-6F19-4D5D-87F1-DD3810E68961}">
  <ds:schemaRefs>
    <ds:schemaRef ds:uri="http://schemas.microsoft.com/office/2006/metadata/customXsn"/>
  </ds:schemaRefs>
</ds:datastoreItem>
</file>

<file path=customXml/itemProps7.xml><?xml version="1.0" encoding="utf-8"?>
<ds:datastoreItem xmlns:ds="http://schemas.openxmlformats.org/officeDocument/2006/customXml" ds:itemID="{28315C77-1F66-419B-96B9-E9CAF2175378}"/>
</file>

<file path=customXml/itemProps8.xml><?xml version="1.0" encoding="utf-8"?>
<ds:datastoreItem xmlns:ds="http://schemas.openxmlformats.org/officeDocument/2006/customXml" ds:itemID="{0E54F27A-FC68-4F8C-BF18-3F4EE5A06A07}"/>
</file>

<file path=docProps/app.xml><?xml version="1.0" encoding="utf-8"?>
<Properties xmlns="http://schemas.openxmlformats.org/officeDocument/2006/extended-properties" xmlns:vt="http://schemas.openxmlformats.org/officeDocument/2006/docPropsVTypes">
  <Template>Normal</Template>
  <TotalTime>18</TotalTime>
  <Pages>1</Pages>
  <Words>26493</Words>
  <Characters>151014</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177153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ronals</dc:creator>
  <cp:keywords/>
  <dc:description/>
  <cp:lastModifiedBy>Sally Ronaldson</cp:lastModifiedBy>
  <cp:revision>7</cp:revision>
  <cp:lastPrinted>2022-06-15T02:23:00Z</cp:lastPrinted>
  <dcterms:created xsi:type="dcterms:W3CDTF">2022-05-24T01:25:00Z</dcterms:created>
  <dcterms:modified xsi:type="dcterms:W3CDTF">2022-06-15T02:23:00Z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ca1a3689-a3b8-49a1-a902-f32b433589e2</vt:lpwstr>
  </property>
  <property fmtid="{D5CDD505-2E9C-101B-9397-08002B2CF9AE}" pid="4" name="bjSaver">
    <vt:lpwstr>LlgSMo3yJ+fkgNEgbtQQbG6KKfc49ivc</vt:lpwstr>
  </property>
  <property fmtid="{D5CDD505-2E9C-101B-9397-08002B2CF9AE}" pid="5" name="ContentTypeId">
    <vt:lpwstr>0x010100FB86A4CA77FAD24FB4C8632D8CBF0C4A</vt:lpwstr>
  </property>
  <property fmtid="{D5CDD505-2E9C-101B-9397-08002B2CF9AE}" pid="6" name="DisposalClass">
    <vt:lpwstr/>
  </property>
  <property fmtid="{D5CDD505-2E9C-101B-9397-08002B2CF9AE}" pid="7" name="BCS_">
    <vt:lpwstr>35;#Evaluation|43bd8487-b9f6-4055-946c-a118d364275d</vt:lpwstr>
  </property>
  <property fmtid="{D5CDD505-2E9C-101B-9397-08002B2CF9AE}" pid="8" name="_dlc_DocIdItemGuid">
    <vt:lpwstr>5df94d5b-cec2-49e8-9fb0-cb6b746a5f81</vt:lpwstr>
  </property>
  <property fmtid="{D5CDD505-2E9C-101B-9397-08002B2CF9AE}" pid="9" name="bjClsUserRVM">
    <vt:lpwstr>[]</vt:lpwstr>
  </property>
  <property fmtid="{D5CDD505-2E9C-101B-9397-08002B2CF9AE}" pid="10" name="RecordPoint_WorkflowType">
    <vt:lpwstr>ActiveSubmitStub</vt:lpwstr>
  </property>
  <property fmtid="{D5CDD505-2E9C-101B-9397-08002B2CF9AE}" pid="11" name="RecordPoint_ActiveItemUniqueId">
    <vt:lpwstr>{f293e424-80a0-430a-8bca-dd7c41475159}</vt:lpwstr>
  </property>
  <property fmtid="{D5CDD505-2E9C-101B-9397-08002B2CF9AE}" pid="12" name="RecordPoint_ActiveItemWebId">
    <vt:lpwstr>{0a24ff59-26de-499e-af6c-870128dbbd86}</vt:lpwstr>
  </property>
  <property fmtid="{D5CDD505-2E9C-101B-9397-08002B2CF9AE}" pid="13" name="RecordPoint_ActiveItemSiteId">
    <vt:lpwstr>{cec154f9-42c6-4481-9906-45443d426660}</vt:lpwstr>
  </property>
  <property fmtid="{D5CDD505-2E9C-101B-9397-08002B2CF9AE}" pid="14" name="RecordPoint_ActiveItemListId">
    <vt:lpwstr>{3a9826a6-ef3d-4704-849b-07726235ecc0}</vt:lpwstr>
  </property>
  <property fmtid="{D5CDD505-2E9C-101B-9397-08002B2CF9AE}" pid="15" name="RecordPoint_RecordNumberSubmitted">
    <vt:lpwstr>R0000207152</vt:lpwstr>
  </property>
  <property fmtid="{D5CDD505-2E9C-101B-9397-08002B2CF9AE}" pid="16" name="RecordPoint_SubmissionCompleted">
    <vt:lpwstr>2022-05-24T11:40:09.8689048+10:00</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21" name="bjDocumentLabelXML-0">
    <vt:lpwstr>ames.com/2008/01/sie/internal/label"&gt;&lt;element uid="66ddac19-06c4-4e63-b4dd-d8240d87a23f" value="" /&gt;&lt;/sisl&gt;</vt:lpwstr>
  </property>
  <property fmtid="{D5CDD505-2E9C-101B-9397-08002B2CF9AE}" pid="22" name="bjDocumentSecurityLabel">
    <vt:lpwstr>NO SECURITY CLASSIFICATION REQUIRED</vt:lpwstr>
  </property>
  <property fmtid="{D5CDD505-2E9C-101B-9397-08002B2CF9AE}" pid="23" name="Classification">
    <vt:i4>1</vt:i4>
  </property>
</Properties>
</file>